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D5" w:rsidRDefault="008B7ED5" w:rsidP="008B7ED5">
      <w:pPr>
        <w:jc w:val="center"/>
        <w:rPr>
          <w:rFonts w:ascii="Garamond" w:hAnsi="Garamond"/>
          <w:sz w:val="32"/>
          <w:szCs w:val="32"/>
        </w:rPr>
      </w:pPr>
      <w:r w:rsidRPr="008B7ED5">
        <w:rPr>
          <w:rFonts w:ascii="Garamond" w:hAnsi="Garamond"/>
          <w:sz w:val="32"/>
          <w:szCs w:val="32"/>
        </w:rPr>
        <w:t>LE BUDGET DE LA CHA</w:t>
      </w:r>
      <w:r w:rsidR="008B17B9">
        <w:rPr>
          <w:rFonts w:ascii="Garamond" w:hAnsi="Garamond"/>
          <w:sz w:val="32"/>
          <w:szCs w:val="32"/>
        </w:rPr>
        <w:t>N</w:t>
      </w:r>
      <w:r w:rsidRPr="008B7ED5">
        <w:rPr>
          <w:rFonts w:ascii="Garamond" w:hAnsi="Garamond"/>
          <w:sz w:val="32"/>
          <w:szCs w:val="32"/>
        </w:rPr>
        <w:t>CELLERIE ALLEMANDE</w:t>
      </w:r>
    </w:p>
    <w:p w:rsidR="008B7ED5" w:rsidRPr="008B7ED5" w:rsidRDefault="008B7ED5" w:rsidP="008B7ED5">
      <w:pPr>
        <w:jc w:val="center"/>
        <w:rPr>
          <w:rFonts w:ascii="Garamond" w:hAnsi="Garamond"/>
          <w:sz w:val="32"/>
          <w:szCs w:val="32"/>
        </w:rPr>
      </w:pPr>
    </w:p>
    <w:p w:rsidR="00446ED7" w:rsidRDefault="00EC6073" w:rsidP="00EC6073">
      <w:pPr>
        <w:jc w:val="both"/>
        <w:rPr>
          <w:rFonts w:ascii="Garamond" w:hAnsi="Garamond"/>
          <w:sz w:val="28"/>
          <w:szCs w:val="28"/>
        </w:rPr>
      </w:pPr>
      <w:r>
        <w:rPr>
          <w:rFonts w:ascii="Garamond" w:hAnsi="Garamond"/>
          <w:sz w:val="28"/>
          <w:szCs w:val="28"/>
        </w:rPr>
        <w:t>En 2011, le budget de la chancelière allemande atteint 41,9 millions</w:t>
      </w:r>
      <w:r w:rsidR="008B17B9">
        <w:rPr>
          <w:rFonts w:ascii="Garamond" w:hAnsi="Garamond"/>
          <w:sz w:val="28"/>
          <w:szCs w:val="28"/>
        </w:rPr>
        <w:t xml:space="preserve"> d’euros</w:t>
      </w:r>
      <w:r>
        <w:rPr>
          <w:rFonts w:ascii="Garamond" w:hAnsi="Garamond"/>
          <w:sz w:val="28"/>
          <w:szCs w:val="28"/>
        </w:rPr>
        <w:t>, en augmentation de 3% par rapport à l’année  précédente. Le tableau suivant fait apparaître les principaux postes de dépenses.</w:t>
      </w:r>
    </w:p>
    <w:p w:rsidR="00EC6073" w:rsidRDefault="00EC6073" w:rsidP="00EC6073">
      <w:pPr>
        <w:jc w:val="both"/>
        <w:rPr>
          <w:rFonts w:ascii="Garamond" w:hAnsi="Garamond"/>
          <w:sz w:val="28"/>
          <w:szCs w:val="28"/>
        </w:rPr>
      </w:pPr>
    </w:p>
    <w:p w:rsidR="00EC6073" w:rsidRDefault="00EC6073" w:rsidP="00EC6073">
      <w:pPr>
        <w:jc w:val="center"/>
        <w:rPr>
          <w:rFonts w:ascii="Garamond" w:hAnsi="Garamond"/>
          <w:sz w:val="28"/>
          <w:szCs w:val="28"/>
        </w:rPr>
      </w:pPr>
      <w:r>
        <w:rPr>
          <w:rFonts w:ascii="Garamond" w:hAnsi="Garamond"/>
          <w:sz w:val="28"/>
          <w:szCs w:val="28"/>
        </w:rPr>
        <w:t>B</w:t>
      </w:r>
      <w:r w:rsidR="00062D47">
        <w:rPr>
          <w:rFonts w:ascii="Garamond" w:hAnsi="Garamond"/>
          <w:sz w:val="28"/>
          <w:szCs w:val="28"/>
        </w:rPr>
        <w:t>UDGET DE LA CHANCEL</w:t>
      </w:r>
      <w:r w:rsidR="008B17B9">
        <w:rPr>
          <w:rFonts w:ascii="Garamond" w:hAnsi="Garamond"/>
          <w:sz w:val="28"/>
          <w:szCs w:val="28"/>
        </w:rPr>
        <w:t>L</w:t>
      </w:r>
      <w:r w:rsidR="00062D47">
        <w:rPr>
          <w:rFonts w:ascii="Garamond" w:hAnsi="Garamond"/>
          <w:sz w:val="28"/>
          <w:szCs w:val="28"/>
        </w:rPr>
        <w:t>ERIE ALLEMA</w:t>
      </w:r>
      <w:r w:rsidR="008B7ED5">
        <w:rPr>
          <w:rFonts w:ascii="Garamond" w:hAnsi="Garamond"/>
          <w:sz w:val="28"/>
          <w:szCs w:val="28"/>
        </w:rPr>
        <w:t>NDE (en milliers</w:t>
      </w:r>
      <w:r>
        <w:rPr>
          <w:rFonts w:ascii="Garamond" w:hAnsi="Garamond"/>
          <w:sz w:val="28"/>
          <w:szCs w:val="28"/>
        </w:rPr>
        <w:t xml:space="preserve"> d’euros)</w:t>
      </w:r>
    </w:p>
    <w:tbl>
      <w:tblPr>
        <w:tblStyle w:val="Grilledutableau"/>
        <w:tblW w:w="0" w:type="auto"/>
        <w:tblLook w:val="04A0" w:firstRow="1" w:lastRow="0" w:firstColumn="1" w:lastColumn="0" w:noHBand="0" w:noVBand="1"/>
      </w:tblPr>
      <w:tblGrid>
        <w:gridCol w:w="3085"/>
        <w:gridCol w:w="1700"/>
        <w:gridCol w:w="1277"/>
        <w:gridCol w:w="2268"/>
      </w:tblGrid>
      <w:tr w:rsidR="00EC6073" w:rsidTr="00EC6073">
        <w:tc>
          <w:tcPr>
            <w:tcW w:w="3085" w:type="dxa"/>
          </w:tcPr>
          <w:p w:rsidR="00EC6073" w:rsidRDefault="00EC6073" w:rsidP="00EC6073">
            <w:pPr>
              <w:jc w:val="center"/>
              <w:rPr>
                <w:rFonts w:ascii="Garamond" w:hAnsi="Garamond"/>
                <w:sz w:val="28"/>
                <w:szCs w:val="28"/>
              </w:rPr>
            </w:pPr>
          </w:p>
        </w:tc>
        <w:tc>
          <w:tcPr>
            <w:tcW w:w="1700" w:type="dxa"/>
          </w:tcPr>
          <w:p w:rsidR="00EC6073" w:rsidRDefault="00EC6073" w:rsidP="00EC6073">
            <w:pPr>
              <w:jc w:val="center"/>
              <w:rPr>
                <w:rFonts w:ascii="Garamond" w:hAnsi="Garamond"/>
                <w:sz w:val="28"/>
                <w:szCs w:val="28"/>
              </w:rPr>
            </w:pPr>
            <w:r>
              <w:rPr>
                <w:rFonts w:ascii="Garamond" w:hAnsi="Garamond"/>
                <w:sz w:val="28"/>
                <w:szCs w:val="28"/>
              </w:rPr>
              <w:t>2011</w:t>
            </w:r>
          </w:p>
        </w:tc>
        <w:tc>
          <w:tcPr>
            <w:tcW w:w="1277" w:type="dxa"/>
          </w:tcPr>
          <w:p w:rsidR="00EC6073" w:rsidRDefault="00EC6073" w:rsidP="00EC6073">
            <w:pPr>
              <w:rPr>
                <w:rFonts w:ascii="Garamond" w:hAnsi="Garamond"/>
                <w:sz w:val="28"/>
                <w:szCs w:val="28"/>
              </w:rPr>
            </w:pPr>
            <w:r>
              <w:rPr>
                <w:rFonts w:ascii="Garamond" w:hAnsi="Garamond"/>
                <w:sz w:val="28"/>
                <w:szCs w:val="28"/>
              </w:rPr>
              <w:t>2010</w:t>
            </w:r>
          </w:p>
        </w:tc>
        <w:tc>
          <w:tcPr>
            <w:tcW w:w="2268" w:type="dxa"/>
          </w:tcPr>
          <w:p w:rsidR="00EC6073" w:rsidRDefault="00EC6073" w:rsidP="00EC6073">
            <w:pPr>
              <w:jc w:val="center"/>
              <w:rPr>
                <w:rFonts w:ascii="Garamond" w:hAnsi="Garamond"/>
                <w:sz w:val="28"/>
                <w:szCs w:val="28"/>
              </w:rPr>
            </w:pPr>
            <w:r>
              <w:rPr>
                <w:rFonts w:ascii="Garamond" w:hAnsi="Garamond"/>
                <w:sz w:val="28"/>
                <w:szCs w:val="28"/>
              </w:rPr>
              <w:t>Evolution</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Frais de Personnel</w:t>
            </w:r>
          </w:p>
        </w:tc>
        <w:tc>
          <w:tcPr>
            <w:tcW w:w="1700" w:type="dxa"/>
          </w:tcPr>
          <w:p w:rsidR="00EC6073" w:rsidRDefault="00EC6073" w:rsidP="00EC6073">
            <w:pPr>
              <w:jc w:val="center"/>
              <w:rPr>
                <w:rFonts w:ascii="Garamond" w:hAnsi="Garamond"/>
                <w:sz w:val="28"/>
                <w:szCs w:val="28"/>
              </w:rPr>
            </w:pPr>
            <w:r>
              <w:rPr>
                <w:rFonts w:ascii="Garamond" w:hAnsi="Garamond"/>
                <w:sz w:val="28"/>
                <w:szCs w:val="28"/>
              </w:rPr>
              <w:t>30 848</w:t>
            </w:r>
          </w:p>
        </w:tc>
        <w:tc>
          <w:tcPr>
            <w:tcW w:w="1277" w:type="dxa"/>
          </w:tcPr>
          <w:p w:rsidR="00EC6073" w:rsidRDefault="00EC6073" w:rsidP="00EC6073">
            <w:pPr>
              <w:jc w:val="center"/>
              <w:rPr>
                <w:rFonts w:ascii="Garamond" w:hAnsi="Garamond"/>
                <w:sz w:val="28"/>
                <w:szCs w:val="28"/>
              </w:rPr>
            </w:pPr>
            <w:r>
              <w:rPr>
                <w:rFonts w:ascii="Garamond" w:hAnsi="Garamond"/>
                <w:sz w:val="28"/>
                <w:szCs w:val="28"/>
              </w:rPr>
              <w:t>29 089</w:t>
            </w:r>
          </w:p>
        </w:tc>
        <w:tc>
          <w:tcPr>
            <w:tcW w:w="2268" w:type="dxa"/>
          </w:tcPr>
          <w:p w:rsidR="00EC6073" w:rsidRDefault="00EC6073" w:rsidP="00EC6073">
            <w:pPr>
              <w:jc w:val="center"/>
              <w:rPr>
                <w:rFonts w:ascii="Garamond" w:hAnsi="Garamond"/>
                <w:sz w:val="28"/>
                <w:szCs w:val="28"/>
              </w:rPr>
            </w:pPr>
            <w:r>
              <w:rPr>
                <w:rFonts w:ascii="Garamond" w:hAnsi="Garamond"/>
                <w:sz w:val="28"/>
                <w:szCs w:val="28"/>
              </w:rPr>
              <w:t>+1759 (+6%)</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Achats de fourniture</w:t>
            </w:r>
            <w:r w:rsidR="008B17B9">
              <w:rPr>
                <w:rFonts w:ascii="Garamond" w:hAnsi="Garamond"/>
                <w:sz w:val="28"/>
                <w:szCs w:val="28"/>
              </w:rPr>
              <w:t>s</w:t>
            </w:r>
          </w:p>
        </w:tc>
        <w:tc>
          <w:tcPr>
            <w:tcW w:w="1700" w:type="dxa"/>
          </w:tcPr>
          <w:p w:rsidR="00EC6073" w:rsidRDefault="00EC6073" w:rsidP="00EC6073">
            <w:pPr>
              <w:jc w:val="center"/>
              <w:rPr>
                <w:rFonts w:ascii="Garamond" w:hAnsi="Garamond"/>
                <w:sz w:val="28"/>
                <w:szCs w:val="28"/>
              </w:rPr>
            </w:pPr>
            <w:r>
              <w:rPr>
                <w:rFonts w:ascii="Garamond" w:hAnsi="Garamond"/>
                <w:sz w:val="28"/>
                <w:szCs w:val="28"/>
              </w:rPr>
              <w:t>1072</w:t>
            </w:r>
          </w:p>
        </w:tc>
        <w:tc>
          <w:tcPr>
            <w:tcW w:w="1277" w:type="dxa"/>
          </w:tcPr>
          <w:p w:rsidR="00EC6073" w:rsidRDefault="00EC6073" w:rsidP="00EC6073">
            <w:pPr>
              <w:jc w:val="center"/>
              <w:rPr>
                <w:rFonts w:ascii="Garamond" w:hAnsi="Garamond"/>
                <w:sz w:val="28"/>
                <w:szCs w:val="28"/>
              </w:rPr>
            </w:pPr>
            <w:r>
              <w:rPr>
                <w:rFonts w:ascii="Garamond" w:hAnsi="Garamond"/>
                <w:sz w:val="28"/>
                <w:szCs w:val="28"/>
              </w:rPr>
              <w:t>1072</w:t>
            </w:r>
          </w:p>
        </w:tc>
        <w:tc>
          <w:tcPr>
            <w:tcW w:w="2268" w:type="dxa"/>
          </w:tcPr>
          <w:p w:rsidR="00EC6073" w:rsidRDefault="00EC6073" w:rsidP="00EC6073">
            <w:pPr>
              <w:jc w:val="center"/>
              <w:rPr>
                <w:rFonts w:ascii="Garamond" w:hAnsi="Garamond"/>
                <w:sz w:val="28"/>
                <w:szCs w:val="28"/>
              </w:rPr>
            </w:pPr>
            <w:r>
              <w:rPr>
                <w:rFonts w:ascii="Garamond" w:hAnsi="Garamond"/>
                <w:sz w:val="28"/>
                <w:szCs w:val="28"/>
              </w:rPr>
              <w:t>-</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Entretien courant</w:t>
            </w:r>
          </w:p>
        </w:tc>
        <w:tc>
          <w:tcPr>
            <w:tcW w:w="1700" w:type="dxa"/>
          </w:tcPr>
          <w:p w:rsidR="00EC6073" w:rsidRDefault="00EC6073" w:rsidP="00EC6073">
            <w:pPr>
              <w:jc w:val="center"/>
              <w:rPr>
                <w:rFonts w:ascii="Garamond" w:hAnsi="Garamond"/>
                <w:sz w:val="28"/>
                <w:szCs w:val="28"/>
              </w:rPr>
            </w:pPr>
            <w:r>
              <w:rPr>
                <w:rFonts w:ascii="Garamond" w:hAnsi="Garamond"/>
                <w:sz w:val="28"/>
                <w:szCs w:val="28"/>
              </w:rPr>
              <w:t>3905</w:t>
            </w:r>
          </w:p>
        </w:tc>
        <w:tc>
          <w:tcPr>
            <w:tcW w:w="1277" w:type="dxa"/>
          </w:tcPr>
          <w:p w:rsidR="00EC6073" w:rsidRDefault="00EC6073" w:rsidP="00EC6073">
            <w:pPr>
              <w:jc w:val="center"/>
              <w:rPr>
                <w:rFonts w:ascii="Garamond" w:hAnsi="Garamond"/>
                <w:sz w:val="28"/>
                <w:szCs w:val="28"/>
              </w:rPr>
            </w:pPr>
            <w:r>
              <w:rPr>
                <w:rFonts w:ascii="Garamond" w:hAnsi="Garamond"/>
                <w:sz w:val="28"/>
                <w:szCs w:val="28"/>
              </w:rPr>
              <w:t>3905</w:t>
            </w:r>
          </w:p>
        </w:tc>
        <w:tc>
          <w:tcPr>
            <w:tcW w:w="2268" w:type="dxa"/>
          </w:tcPr>
          <w:p w:rsidR="00EC6073" w:rsidRDefault="00EC6073" w:rsidP="00EC6073">
            <w:pPr>
              <w:jc w:val="center"/>
              <w:rPr>
                <w:rFonts w:ascii="Garamond" w:hAnsi="Garamond"/>
                <w:sz w:val="28"/>
                <w:szCs w:val="28"/>
              </w:rPr>
            </w:pPr>
            <w:r>
              <w:rPr>
                <w:rFonts w:ascii="Garamond" w:hAnsi="Garamond"/>
                <w:sz w:val="28"/>
                <w:szCs w:val="28"/>
              </w:rPr>
              <w:t>-</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Informatique</w:t>
            </w:r>
          </w:p>
        </w:tc>
        <w:tc>
          <w:tcPr>
            <w:tcW w:w="1700" w:type="dxa"/>
          </w:tcPr>
          <w:p w:rsidR="00EC6073" w:rsidRDefault="00EC6073" w:rsidP="00EC6073">
            <w:pPr>
              <w:jc w:val="center"/>
              <w:rPr>
                <w:rFonts w:ascii="Garamond" w:hAnsi="Garamond"/>
                <w:sz w:val="28"/>
                <w:szCs w:val="28"/>
              </w:rPr>
            </w:pPr>
            <w:r>
              <w:rPr>
                <w:rFonts w:ascii="Garamond" w:hAnsi="Garamond"/>
                <w:sz w:val="28"/>
                <w:szCs w:val="28"/>
              </w:rPr>
              <w:t>1644</w:t>
            </w:r>
          </w:p>
        </w:tc>
        <w:tc>
          <w:tcPr>
            <w:tcW w:w="1277" w:type="dxa"/>
          </w:tcPr>
          <w:p w:rsidR="00EC6073" w:rsidRDefault="00EC6073" w:rsidP="00EC6073">
            <w:pPr>
              <w:jc w:val="center"/>
              <w:rPr>
                <w:rFonts w:ascii="Garamond" w:hAnsi="Garamond"/>
                <w:sz w:val="28"/>
                <w:szCs w:val="28"/>
              </w:rPr>
            </w:pPr>
            <w:r>
              <w:rPr>
                <w:rFonts w:ascii="Garamond" w:hAnsi="Garamond"/>
                <w:sz w:val="28"/>
                <w:szCs w:val="28"/>
              </w:rPr>
              <w:t>1454</w:t>
            </w:r>
          </w:p>
        </w:tc>
        <w:tc>
          <w:tcPr>
            <w:tcW w:w="2268" w:type="dxa"/>
          </w:tcPr>
          <w:p w:rsidR="00EC6073" w:rsidRDefault="00EC6073" w:rsidP="00EC6073">
            <w:pPr>
              <w:jc w:val="center"/>
              <w:rPr>
                <w:rFonts w:ascii="Garamond" w:hAnsi="Garamond"/>
                <w:sz w:val="28"/>
                <w:szCs w:val="28"/>
              </w:rPr>
            </w:pPr>
            <w:r>
              <w:rPr>
                <w:rFonts w:ascii="Garamond" w:hAnsi="Garamond"/>
                <w:sz w:val="28"/>
                <w:szCs w:val="28"/>
              </w:rPr>
              <w:t>+190 (+13%)</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Réception des hôtes étrangers</w:t>
            </w:r>
          </w:p>
        </w:tc>
        <w:tc>
          <w:tcPr>
            <w:tcW w:w="1700" w:type="dxa"/>
          </w:tcPr>
          <w:p w:rsidR="00EC6073" w:rsidRDefault="00EC6073" w:rsidP="00EC6073">
            <w:pPr>
              <w:jc w:val="center"/>
              <w:rPr>
                <w:rFonts w:ascii="Garamond" w:hAnsi="Garamond"/>
                <w:sz w:val="28"/>
                <w:szCs w:val="28"/>
              </w:rPr>
            </w:pPr>
            <w:r>
              <w:rPr>
                <w:rFonts w:ascii="Garamond" w:hAnsi="Garamond"/>
                <w:sz w:val="28"/>
                <w:szCs w:val="28"/>
              </w:rPr>
              <w:t>471</w:t>
            </w:r>
          </w:p>
        </w:tc>
        <w:tc>
          <w:tcPr>
            <w:tcW w:w="1277" w:type="dxa"/>
          </w:tcPr>
          <w:p w:rsidR="00EC6073" w:rsidRDefault="00EC6073" w:rsidP="00EC6073">
            <w:pPr>
              <w:jc w:val="center"/>
              <w:rPr>
                <w:rFonts w:ascii="Garamond" w:hAnsi="Garamond"/>
                <w:sz w:val="28"/>
                <w:szCs w:val="28"/>
              </w:rPr>
            </w:pPr>
            <w:r>
              <w:rPr>
                <w:rFonts w:ascii="Garamond" w:hAnsi="Garamond"/>
                <w:sz w:val="28"/>
                <w:szCs w:val="28"/>
              </w:rPr>
              <w:t>471</w:t>
            </w:r>
          </w:p>
        </w:tc>
        <w:tc>
          <w:tcPr>
            <w:tcW w:w="2268" w:type="dxa"/>
          </w:tcPr>
          <w:p w:rsidR="00EC6073" w:rsidRDefault="00E32866" w:rsidP="00EC6073">
            <w:pPr>
              <w:jc w:val="center"/>
              <w:rPr>
                <w:rFonts w:ascii="Garamond" w:hAnsi="Garamond"/>
                <w:sz w:val="28"/>
                <w:szCs w:val="28"/>
              </w:rPr>
            </w:pPr>
            <w:r>
              <w:rPr>
                <w:rFonts w:ascii="Garamond" w:hAnsi="Garamond"/>
                <w:sz w:val="28"/>
                <w:szCs w:val="28"/>
              </w:rPr>
              <w:t>-</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Parc automobile</w:t>
            </w:r>
          </w:p>
        </w:tc>
        <w:tc>
          <w:tcPr>
            <w:tcW w:w="1700" w:type="dxa"/>
          </w:tcPr>
          <w:p w:rsidR="00EC6073" w:rsidRDefault="00EC6073" w:rsidP="00EC6073">
            <w:pPr>
              <w:jc w:val="center"/>
              <w:rPr>
                <w:rFonts w:ascii="Garamond" w:hAnsi="Garamond"/>
                <w:sz w:val="28"/>
                <w:szCs w:val="28"/>
              </w:rPr>
            </w:pPr>
            <w:r>
              <w:rPr>
                <w:rFonts w:ascii="Garamond" w:hAnsi="Garamond"/>
                <w:sz w:val="28"/>
                <w:szCs w:val="28"/>
              </w:rPr>
              <w:t>130</w:t>
            </w:r>
          </w:p>
        </w:tc>
        <w:tc>
          <w:tcPr>
            <w:tcW w:w="1277" w:type="dxa"/>
          </w:tcPr>
          <w:p w:rsidR="00EC6073" w:rsidRDefault="00EC6073" w:rsidP="00EC6073">
            <w:pPr>
              <w:jc w:val="center"/>
              <w:rPr>
                <w:rFonts w:ascii="Garamond" w:hAnsi="Garamond"/>
                <w:sz w:val="28"/>
                <w:szCs w:val="28"/>
              </w:rPr>
            </w:pPr>
            <w:r>
              <w:rPr>
                <w:rFonts w:ascii="Garamond" w:hAnsi="Garamond"/>
                <w:sz w:val="28"/>
                <w:szCs w:val="28"/>
              </w:rPr>
              <w:t>130</w:t>
            </w:r>
          </w:p>
        </w:tc>
        <w:tc>
          <w:tcPr>
            <w:tcW w:w="2268" w:type="dxa"/>
          </w:tcPr>
          <w:p w:rsidR="00EC6073" w:rsidRDefault="00E32866" w:rsidP="00EC6073">
            <w:pPr>
              <w:jc w:val="center"/>
              <w:rPr>
                <w:rFonts w:ascii="Garamond" w:hAnsi="Garamond"/>
                <w:sz w:val="28"/>
                <w:szCs w:val="28"/>
              </w:rPr>
            </w:pPr>
            <w:r>
              <w:rPr>
                <w:rFonts w:ascii="Garamond" w:hAnsi="Garamond"/>
                <w:sz w:val="28"/>
                <w:szCs w:val="28"/>
              </w:rPr>
              <w:t>-</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 xml:space="preserve">Déplacements </w:t>
            </w:r>
          </w:p>
          <w:p w:rsidR="00EC6073" w:rsidRDefault="00EC6073" w:rsidP="00EC6073">
            <w:pPr>
              <w:jc w:val="center"/>
              <w:rPr>
                <w:rFonts w:ascii="Garamond" w:hAnsi="Garamond"/>
                <w:sz w:val="28"/>
                <w:szCs w:val="28"/>
              </w:rPr>
            </w:pPr>
          </w:p>
          <w:p w:rsidR="00EC6073" w:rsidRDefault="00EC6073" w:rsidP="00EC6073">
            <w:pPr>
              <w:jc w:val="center"/>
              <w:rPr>
                <w:rFonts w:ascii="Garamond" w:hAnsi="Garamond"/>
                <w:sz w:val="28"/>
                <w:szCs w:val="28"/>
              </w:rPr>
            </w:pPr>
            <w:r>
              <w:rPr>
                <w:rFonts w:ascii="Garamond" w:hAnsi="Garamond"/>
                <w:sz w:val="28"/>
                <w:szCs w:val="28"/>
              </w:rPr>
              <w:t>Dont courants</w:t>
            </w:r>
          </w:p>
          <w:p w:rsidR="00EC6073" w:rsidRDefault="00EC6073" w:rsidP="00EC6073">
            <w:pPr>
              <w:jc w:val="center"/>
              <w:rPr>
                <w:rFonts w:ascii="Garamond" w:hAnsi="Garamond"/>
                <w:sz w:val="28"/>
                <w:szCs w:val="28"/>
              </w:rPr>
            </w:pPr>
            <w:r>
              <w:rPr>
                <w:rFonts w:ascii="Garamond" w:hAnsi="Garamond"/>
                <w:sz w:val="28"/>
                <w:szCs w:val="28"/>
              </w:rPr>
              <w:t xml:space="preserve">                Exceptionnels</w:t>
            </w:r>
          </w:p>
          <w:p w:rsidR="00EC6073" w:rsidRDefault="00EC6073" w:rsidP="00EC6073">
            <w:pPr>
              <w:jc w:val="center"/>
              <w:rPr>
                <w:rFonts w:ascii="Garamond" w:hAnsi="Garamond"/>
                <w:sz w:val="28"/>
                <w:szCs w:val="28"/>
              </w:rPr>
            </w:pPr>
            <w:r>
              <w:rPr>
                <w:rFonts w:ascii="Garamond" w:hAnsi="Garamond"/>
                <w:sz w:val="28"/>
                <w:szCs w:val="28"/>
              </w:rPr>
              <w:t xml:space="preserve">      étranger</w:t>
            </w:r>
          </w:p>
          <w:p w:rsidR="00EC6073" w:rsidRDefault="00EC6073" w:rsidP="00EC6073">
            <w:pPr>
              <w:jc w:val="center"/>
              <w:rPr>
                <w:rFonts w:ascii="Garamond" w:hAnsi="Garamond"/>
                <w:sz w:val="28"/>
                <w:szCs w:val="28"/>
              </w:rPr>
            </w:pPr>
          </w:p>
        </w:tc>
        <w:tc>
          <w:tcPr>
            <w:tcW w:w="1700" w:type="dxa"/>
          </w:tcPr>
          <w:p w:rsidR="00EC6073" w:rsidRDefault="00EC6073" w:rsidP="00EC6073">
            <w:pPr>
              <w:jc w:val="center"/>
              <w:rPr>
                <w:rFonts w:ascii="Garamond" w:hAnsi="Garamond"/>
                <w:sz w:val="28"/>
                <w:szCs w:val="28"/>
              </w:rPr>
            </w:pPr>
            <w:r>
              <w:rPr>
                <w:rFonts w:ascii="Garamond" w:hAnsi="Garamond"/>
                <w:sz w:val="28"/>
                <w:szCs w:val="28"/>
              </w:rPr>
              <w:t>1325</w:t>
            </w:r>
          </w:p>
          <w:p w:rsidR="00EC6073" w:rsidRDefault="00EC6073" w:rsidP="00EC6073">
            <w:pPr>
              <w:jc w:val="center"/>
              <w:rPr>
                <w:rFonts w:ascii="Garamond" w:hAnsi="Garamond"/>
                <w:sz w:val="28"/>
                <w:szCs w:val="28"/>
              </w:rPr>
            </w:pPr>
          </w:p>
          <w:p w:rsidR="00EC6073" w:rsidRDefault="00EC6073" w:rsidP="00EC6073">
            <w:pPr>
              <w:jc w:val="center"/>
              <w:rPr>
                <w:rFonts w:ascii="Garamond" w:hAnsi="Garamond"/>
                <w:sz w:val="28"/>
                <w:szCs w:val="28"/>
              </w:rPr>
            </w:pPr>
            <w:r>
              <w:rPr>
                <w:rFonts w:ascii="Garamond" w:hAnsi="Garamond"/>
                <w:sz w:val="28"/>
                <w:szCs w:val="28"/>
              </w:rPr>
              <w:t>385</w:t>
            </w:r>
          </w:p>
          <w:p w:rsidR="00EC6073" w:rsidRDefault="00EC6073" w:rsidP="00EC6073">
            <w:pPr>
              <w:jc w:val="center"/>
              <w:rPr>
                <w:rFonts w:ascii="Garamond" w:hAnsi="Garamond"/>
                <w:sz w:val="28"/>
                <w:szCs w:val="28"/>
              </w:rPr>
            </w:pPr>
            <w:r>
              <w:rPr>
                <w:rFonts w:ascii="Garamond" w:hAnsi="Garamond"/>
                <w:sz w:val="28"/>
                <w:szCs w:val="28"/>
              </w:rPr>
              <w:t>340</w:t>
            </w:r>
          </w:p>
          <w:p w:rsidR="00EC6073" w:rsidRDefault="00EC6073" w:rsidP="00EC6073">
            <w:pPr>
              <w:jc w:val="center"/>
              <w:rPr>
                <w:rFonts w:ascii="Garamond" w:hAnsi="Garamond"/>
                <w:sz w:val="28"/>
                <w:szCs w:val="28"/>
              </w:rPr>
            </w:pPr>
            <w:r>
              <w:rPr>
                <w:rFonts w:ascii="Garamond" w:hAnsi="Garamond"/>
                <w:sz w:val="28"/>
                <w:szCs w:val="28"/>
              </w:rPr>
              <w:t>600</w:t>
            </w:r>
          </w:p>
        </w:tc>
        <w:tc>
          <w:tcPr>
            <w:tcW w:w="1277" w:type="dxa"/>
          </w:tcPr>
          <w:p w:rsidR="00EC6073" w:rsidRDefault="00EC6073" w:rsidP="00EC6073">
            <w:pPr>
              <w:jc w:val="center"/>
              <w:rPr>
                <w:rFonts w:ascii="Garamond" w:hAnsi="Garamond"/>
                <w:sz w:val="28"/>
                <w:szCs w:val="28"/>
              </w:rPr>
            </w:pPr>
            <w:r>
              <w:rPr>
                <w:rFonts w:ascii="Garamond" w:hAnsi="Garamond"/>
                <w:sz w:val="28"/>
                <w:szCs w:val="28"/>
              </w:rPr>
              <w:t>1325</w:t>
            </w:r>
          </w:p>
          <w:p w:rsidR="00EC6073" w:rsidRDefault="00EC6073" w:rsidP="00EC6073">
            <w:pPr>
              <w:jc w:val="center"/>
              <w:rPr>
                <w:rFonts w:ascii="Garamond" w:hAnsi="Garamond"/>
                <w:sz w:val="28"/>
                <w:szCs w:val="28"/>
              </w:rPr>
            </w:pPr>
          </w:p>
          <w:p w:rsidR="00EC6073" w:rsidRDefault="00EC6073" w:rsidP="00EC6073">
            <w:pPr>
              <w:jc w:val="center"/>
              <w:rPr>
                <w:rFonts w:ascii="Garamond" w:hAnsi="Garamond"/>
                <w:sz w:val="28"/>
                <w:szCs w:val="28"/>
              </w:rPr>
            </w:pPr>
            <w:r>
              <w:rPr>
                <w:rFonts w:ascii="Garamond" w:hAnsi="Garamond"/>
                <w:sz w:val="28"/>
                <w:szCs w:val="28"/>
              </w:rPr>
              <w:t>385</w:t>
            </w:r>
          </w:p>
          <w:p w:rsidR="00EC6073" w:rsidRDefault="00EC6073" w:rsidP="00EC6073">
            <w:pPr>
              <w:jc w:val="center"/>
              <w:rPr>
                <w:rFonts w:ascii="Garamond" w:hAnsi="Garamond"/>
                <w:sz w:val="28"/>
                <w:szCs w:val="28"/>
              </w:rPr>
            </w:pPr>
            <w:r>
              <w:rPr>
                <w:rFonts w:ascii="Garamond" w:hAnsi="Garamond"/>
                <w:sz w:val="28"/>
                <w:szCs w:val="28"/>
              </w:rPr>
              <w:t>340</w:t>
            </w:r>
          </w:p>
          <w:p w:rsidR="00EC6073" w:rsidRDefault="00EC6073" w:rsidP="00EC6073">
            <w:pPr>
              <w:jc w:val="center"/>
              <w:rPr>
                <w:rFonts w:ascii="Garamond" w:hAnsi="Garamond"/>
                <w:sz w:val="28"/>
                <w:szCs w:val="28"/>
              </w:rPr>
            </w:pPr>
            <w:r>
              <w:rPr>
                <w:rFonts w:ascii="Garamond" w:hAnsi="Garamond"/>
                <w:sz w:val="28"/>
                <w:szCs w:val="28"/>
              </w:rPr>
              <w:t>600</w:t>
            </w:r>
          </w:p>
        </w:tc>
        <w:tc>
          <w:tcPr>
            <w:tcW w:w="2268" w:type="dxa"/>
          </w:tcPr>
          <w:p w:rsidR="00EC6073" w:rsidRDefault="00E32866" w:rsidP="00EC6073">
            <w:pPr>
              <w:jc w:val="center"/>
              <w:rPr>
                <w:rFonts w:ascii="Garamond" w:hAnsi="Garamond"/>
                <w:sz w:val="28"/>
                <w:szCs w:val="28"/>
              </w:rPr>
            </w:pPr>
            <w:r>
              <w:rPr>
                <w:rFonts w:ascii="Garamond" w:hAnsi="Garamond"/>
                <w:sz w:val="28"/>
                <w:szCs w:val="28"/>
              </w:rPr>
              <w:t>-</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Diverses dépenses</w:t>
            </w:r>
          </w:p>
        </w:tc>
        <w:tc>
          <w:tcPr>
            <w:tcW w:w="1700" w:type="dxa"/>
          </w:tcPr>
          <w:p w:rsidR="00EC6073" w:rsidRDefault="00EC6073" w:rsidP="00EC6073">
            <w:pPr>
              <w:jc w:val="center"/>
              <w:rPr>
                <w:rFonts w:ascii="Garamond" w:hAnsi="Garamond"/>
                <w:sz w:val="28"/>
                <w:szCs w:val="28"/>
              </w:rPr>
            </w:pPr>
            <w:r>
              <w:rPr>
                <w:rFonts w:ascii="Garamond" w:hAnsi="Garamond"/>
                <w:sz w:val="28"/>
                <w:szCs w:val="28"/>
              </w:rPr>
              <w:t>1544</w:t>
            </w:r>
          </w:p>
        </w:tc>
        <w:tc>
          <w:tcPr>
            <w:tcW w:w="1277" w:type="dxa"/>
          </w:tcPr>
          <w:p w:rsidR="00EC6073" w:rsidRDefault="00EC6073" w:rsidP="00EC6073">
            <w:pPr>
              <w:jc w:val="center"/>
              <w:rPr>
                <w:rFonts w:ascii="Garamond" w:hAnsi="Garamond"/>
                <w:sz w:val="28"/>
                <w:szCs w:val="28"/>
              </w:rPr>
            </w:pPr>
            <w:r>
              <w:rPr>
                <w:rFonts w:ascii="Garamond" w:hAnsi="Garamond"/>
                <w:sz w:val="28"/>
                <w:szCs w:val="28"/>
              </w:rPr>
              <w:t>1544</w:t>
            </w:r>
          </w:p>
        </w:tc>
        <w:tc>
          <w:tcPr>
            <w:tcW w:w="2268" w:type="dxa"/>
          </w:tcPr>
          <w:p w:rsidR="00EC6073" w:rsidRDefault="00E32866" w:rsidP="00EC6073">
            <w:pPr>
              <w:jc w:val="center"/>
              <w:rPr>
                <w:rFonts w:ascii="Garamond" w:hAnsi="Garamond"/>
                <w:sz w:val="28"/>
                <w:szCs w:val="28"/>
              </w:rPr>
            </w:pPr>
            <w:r>
              <w:rPr>
                <w:rFonts w:ascii="Garamond" w:hAnsi="Garamond"/>
                <w:sz w:val="28"/>
                <w:szCs w:val="28"/>
              </w:rPr>
              <w:t>-</w:t>
            </w:r>
          </w:p>
        </w:tc>
      </w:tr>
      <w:tr w:rsidR="00EC6073" w:rsidTr="00EC6073">
        <w:tc>
          <w:tcPr>
            <w:tcW w:w="3085" w:type="dxa"/>
          </w:tcPr>
          <w:p w:rsidR="00EC6073" w:rsidRDefault="00EC6073" w:rsidP="00EC6073">
            <w:pPr>
              <w:jc w:val="center"/>
              <w:rPr>
                <w:rFonts w:ascii="Garamond" w:hAnsi="Garamond"/>
                <w:sz w:val="28"/>
                <w:szCs w:val="28"/>
              </w:rPr>
            </w:pPr>
            <w:r>
              <w:rPr>
                <w:rFonts w:ascii="Garamond" w:hAnsi="Garamond"/>
                <w:sz w:val="28"/>
                <w:szCs w:val="28"/>
              </w:rPr>
              <w:t>Investissement</w:t>
            </w:r>
          </w:p>
          <w:p w:rsidR="00EC6073" w:rsidRDefault="00EC6073" w:rsidP="00EC6073">
            <w:pPr>
              <w:rPr>
                <w:rFonts w:ascii="Garamond" w:hAnsi="Garamond"/>
                <w:sz w:val="28"/>
                <w:szCs w:val="28"/>
              </w:rPr>
            </w:pPr>
          </w:p>
        </w:tc>
        <w:tc>
          <w:tcPr>
            <w:tcW w:w="1700" w:type="dxa"/>
          </w:tcPr>
          <w:p w:rsidR="00EC6073" w:rsidRDefault="00EC6073" w:rsidP="00EC6073">
            <w:pPr>
              <w:jc w:val="center"/>
              <w:rPr>
                <w:rFonts w:ascii="Garamond" w:hAnsi="Garamond"/>
                <w:sz w:val="28"/>
                <w:szCs w:val="28"/>
              </w:rPr>
            </w:pPr>
            <w:r>
              <w:rPr>
                <w:rFonts w:ascii="Garamond" w:hAnsi="Garamond"/>
                <w:sz w:val="28"/>
                <w:szCs w:val="28"/>
              </w:rPr>
              <w:t>1049</w:t>
            </w:r>
          </w:p>
        </w:tc>
        <w:tc>
          <w:tcPr>
            <w:tcW w:w="1277" w:type="dxa"/>
          </w:tcPr>
          <w:p w:rsidR="00EC6073" w:rsidRDefault="00EC6073" w:rsidP="00EC6073">
            <w:pPr>
              <w:jc w:val="center"/>
              <w:rPr>
                <w:rFonts w:ascii="Garamond" w:hAnsi="Garamond"/>
                <w:sz w:val="28"/>
                <w:szCs w:val="28"/>
              </w:rPr>
            </w:pPr>
            <w:r>
              <w:rPr>
                <w:rFonts w:ascii="Garamond" w:hAnsi="Garamond"/>
                <w:sz w:val="28"/>
                <w:szCs w:val="28"/>
              </w:rPr>
              <w:t>1755</w:t>
            </w:r>
          </w:p>
        </w:tc>
        <w:tc>
          <w:tcPr>
            <w:tcW w:w="2268" w:type="dxa"/>
          </w:tcPr>
          <w:p w:rsidR="00EC6073" w:rsidRDefault="00EC6073" w:rsidP="00EC6073">
            <w:pPr>
              <w:jc w:val="center"/>
              <w:rPr>
                <w:rFonts w:ascii="Garamond" w:hAnsi="Garamond"/>
                <w:sz w:val="28"/>
                <w:szCs w:val="28"/>
              </w:rPr>
            </w:pPr>
            <w:r>
              <w:rPr>
                <w:rFonts w:ascii="Garamond" w:hAnsi="Garamond"/>
                <w:sz w:val="28"/>
                <w:szCs w:val="28"/>
              </w:rPr>
              <w:t>-706 (-40%)</w:t>
            </w:r>
          </w:p>
        </w:tc>
      </w:tr>
      <w:tr w:rsidR="00EC6073" w:rsidTr="00EC6073">
        <w:tc>
          <w:tcPr>
            <w:tcW w:w="3085" w:type="dxa"/>
          </w:tcPr>
          <w:p w:rsidR="00EC6073" w:rsidRPr="00E32866" w:rsidRDefault="00EC6073" w:rsidP="00EC6073">
            <w:pPr>
              <w:jc w:val="center"/>
              <w:rPr>
                <w:rFonts w:ascii="Garamond" w:hAnsi="Garamond"/>
                <w:b/>
                <w:sz w:val="28"/>
                <w:szCs w:val="28"/>
              </w:rPr>
            </w:pPr>
            <w:r w:rsidRPr="00E32866">
              <w:rPr>
                <w:rFonts w:ascii="Garamond" w:hAnsi="Garamond"/>
                <w:b/>
                <w:sz w:val="28"/>
                <w:szCs w:val="28"/>
              </w:rPr>
              <w:t>TOTAL</w:t>
            </w:r>
          </w:p>
        </w:tc>
        <w:tc>
          <w:tcPr>
            <w:tcW w:w="1700" w:type="dxa"/>
          </w:tcPr>
          <w:p w:rsidR="00EC6073" w:rsidRPr="00E32866" w:rsidRDefault="00EC6073" w:rsidP="00EC6073">
            <w:pPr>
              <w:jc w:val="center"/>
              <w:rPr>
                <w:rFonts w:ascii="Garamond" w:hAnsi="Garamond"/>
                <w:b/>
                <w:sz w:val="28"/>
                <w:szCs w:val="28"/>
              </w:rPr>
            </w:pPr>
            <w:r w:rsidRPr="00E32866">
              <w:rPr>
                <w:rFonts w:ascii="Garamond" w:hAnsi="Garamond"/>
                <w:b/>
                <w:sz w:val="28"/>
                <w:szCs w:val="28"/>
              </w:rPr>
              <w:t>41988</w:t>
            </w:r>
          </w:p>
        </w:tc>
        <w:tc>
          <w:tcPr>
            <w:tcW w:w="1277" w:type="dxa"/>
          </w:tcPr>
          <w:p w:rsidR="00EC6073" w:rsidRPr="00E32866" w:rsidRDefault="00EC6073" w:rsidP="00EC6073">
            <w:pPr>
              <w:jc w:val="center"/>
              <w:rPr>
                <w:rFonts w:ascii="Garamond" w:hAnsi="Garamond"/>
                <w:b/>
                <w:sz w:val="28"/>
                <w:szCs w:val="28"/>
              </w:rPr>
            </w:pPr>
            <w:r w:rsidRPr="00E32866">
              <w:rPr>
                <w:rFonts w:ascii="Garamond" w:hAnsi="Garamond"/>
                <w:b/>
                <w:sz w:val="28"/>
                <w:szCs w:val="28"/>
              </w:rPr>
              <w:t>40 745</w:t>
            </w:r>
          </w:p>
        </w:tc>
        <w:tc>
          <w:tcPr>
            <w:tcW w:w="2268" w:type="dxa"/>
          </w:tcPr>
          <w:p w:rsidR="00EC6073" w:rsidRPr="00E32866" w:rsidRDefault="00A07CC3" w:rsidP="00EC6073">
            <w:pPr>
              <w:jc w:val="center"/>
              <w:rPr>
                <w:rFonts w:ascii="Garamond" w:hAnsi="Garamond"/>
                <w:b/>
                <w:sz w:val="28"/>
                <w:szCs w:val="28"/>
              </w:rPr>
            </w:pPr>
            <w:r w:rsidRPr="00E32866">
              <w:rPr>
                <w:rFonts w:ascii="Garamond" w:hAnsi="Garamond"/>
                <w:b/>
                <w:sz w:val="28"/>
                <w:szCs w:val="28"/>
              </w:rPr>
              <w:t>+1243 (+3%)</w:t>
            </w:r>
          </w:p>
        </w:tc>
      </w:tr>
    </w:tbl>
    <w:p w:rsidR="00A07CC3" w:rsidRDefault="00983301" w:rsidP="00A11DF7">
      <w:pPr>
        <w:jc w:val="both"/>
        <w:rPr>
          <w:rFonts w:ascii="Garamond" w:hAnsi="Garamond"/>
          <w:sz w:val="28"/>
          <w:szCs w:val="28"/>
        </w:rPr>
      </w:pPr>
      <w:r>
        <w:rPr>
          <w:rFonts w:ascii="Garamond" w:hAnsi="Garamond"/>
          <w:sz w:val="28"/>
          <w:szCs w:val="28"/>
        </w:rPr>
        <w:t>Source : Bundeshaushalts 2011</w:t>
      </w:r>
    </w:p>
    <w:p w:rsidR="00983301" w:rsidRDefault="00983301" w:rsidP="00A11DF7">
      <w:pPr>
        <w:jc w:val="both"/>
        <w:rPr>
          <w:rFonts w:ascii="Garamond" w:hAnsi="Garamond"/>
          <w:sz w:val="28"/>
          <w:szCs w:val="28"/>
        </w:rPr>
      </w:pPr>
    </w:p>
    <w:p w:rsidR="009041BB" w:rsidRDefault="009041BB" w:rsidP="00A11DF7">
      <w:pPr>
        <w:jc w:val="both"/>
        <w:rPr>
          <w:rFonts w:ascii="Garamond" w:hAnsi="Garamond"/>
          <w:sz w:val="28"/>
          <w:szCs w:val="28"/>
        </w:rPr>
      </w:pPr>
      <w:r>
        <w:rPr>
          <w:rFonts w:ascii="Garamond" w:hAnsi="Garamond"/>
          <w:sz w:val="28"/>
          <w:szCs w:val="28"/>
        </w:rPr>
        <w:t>Le personnel affecté à la chancellerie s’élève à 527 (528 en 2010)</w:t>
      </w:r>
    </w:p>
    <w:p w:rsidR="00C465E1" w:rsidRDefault="00C465E1" w:rsidP="00A11DF7">
      <w:pPr>
        <w:jc w:val="both"/>
        <w:rPr>
          <w:rFonts w:ascii="Garamond" w:hAnsi="Garamond"/>
          <w:sz w:val="28"/>
          <w:szCs w:val="28"/>
        </w:rPr>
      </w:pPr>
      <w:r>
        <w:rPr>
          <w:rFonts w:ascii="Garamond" w:hAnsi="Garamond"/>
          <w:sz w:val="28"/>
          <w:szCs w:val="28"/>
        </w:rPr>
        <w:t>La rémunération de la chancelière comprend : un salaire de 15 883 euros, qui s’ajoute à la moitié de son indemnité par</w:t>
      </w:r>
      <w:r w:rsidR="008B17B9">
        <w:rPr>
          <w:rFonts w:ascii="Garamond" w:hAnsi="Garamond"/>
          <w:sz w:val="28"/>
          <w:szCs w:val="28"/>
        </w:rPr>
        <w:t>lementaire soit 3500 euros, ce qui aboutit à</w:t>
      </w:r>
      <w:r>
        <w:rPr>
          <w:rFonts w:ascii="Garamond" w:hAnsi="Garamond"/>
          <w:sz w:val="28"/>
          <w:szCs w:val="28"/>
        </w:rPr>
        <w:t xml:space="preserve"> une rémunération totale mensuelle de 19 333 euros. A cette somme s’ajoute une indemnité annuelle de frais, non imposable, de 12 291 euros. La rémunération totale annuelle s’élève donc à 244 287 euros.</w:t>
      </w:r>
    </w:p>
    <w:p w:rsidR="008B17B9" w:rsidRDefault="008B17B9" w:rsidP="00A11DF7">
      <w:pPr>
        <w:jc w:val="both"/>
        <w:rPr>
          <w:rFonts w:ascii="Garamond" w:hAnsi="Garamond"/>
          <w:sz w:val="28"/>
          <w:szCs w:val="28"/>
        </w:rPr>
      </w:pPr>
      <w:r>
        <w:rPr>
          <w:rFonts w:ascii="Garamond" w:hAnsi="Garamond"/>
          <w:sz w:val="28"/>
          <w:szCs w:val="28"/>
        </w:rPr>
        <w:t xml:space="preserve">On relèvera le montant modeste des déplacements de la chancelière – mais on ignore la nature exacte des dépenses </w:t>
      </w:r>
      <w:proofErr w:type="gramStart"/>
      <w:r>
        <w:rPr>
          <w:rFonts w:ascii="Garamond" w:hAnsi="Garamond"/>
          <w:sz w:val="28"/>
          <w:szCs w:val="28"/>
        </w:rPr>
        <w:t>concernées -</w:t>
      </w:r>
      <w:proofErr w:type="gramEnd"/>
      <w:r>
        <w:rPr>
          <w:rFonts w:ascii="Garamond" w:hAnsi="Garamond"/>
          <w:sz w:val="28"/>
          <w:szCs w:val="28"/>
        </w:rPr>
        <w:t xml:space="preserve">  les déplacements dits </w:t>
      </w:r>
      <w:r>
        <w:rPr>
          <w:rFonts w:ascii="Garamond" w:hAnsi="Garamond"/>
          <w:sz w:val="28"/>
          <w:szCs w:val="28"/>
        </w:rPr>
        <w:lastRenderedPageBreak/>
        <w:t>« exceptionnels » sont remboursés sur production de pièces justificatives et indication du nombre de personnes concernées.</w:t>
      </w:r>
    </w:p>
    <w:p w:rsidR="008B17B9" w:rsidRDefault="008B17B9" w:rsidP="00A11DF7">
      <w:pPr>
        <w:jc w:val="both"/>
        <w:rPr>
          <w:rFonts w:ascii="Garamond" w:hAnsi="Garamond"/>
          <w:sz w:val="28"/>
          <w:szCs w:val="28"/>
        </w:rPr>
      </w:pPr>
      <w:r>
        <w:rPr>
          <w:rFonts w:ascii="Garamond" w:hAnsi="Garamond"/>
          <w:sz w:val="28"/>
          <w:szCs w:val="28"/>
        </w:rPr>
        <w:t xml:space="preserve">De même, le coût du parc automobile est modeste, si on le compare à celui de l’Elysée (435 000 euros uniquement en carburant et assurances). Il est vrai que la chancelière dispose de 27 voitures, contre 105 à l’Elysée. </w:t>
      </w:r>
    </w:p>
    <w:p w:rsidR="00983301" w:rsidRDefault="00633317" w:rsidP="00A11DF7">
      <w:pPr>
        <w:jc w:val="both"/>
        <w:rPr>
          <w:rFonts w:ascii="Garamond" w:hAnsi="Garamond"/>
          <w:sz w:val="28"/>
          <w:szCs w:val="28"/>
        </w:rPr>
      </w:pPr>
      <w:r>
        <w:rPr>
          <w:rFonts w:ascii="Garamond" w:hAnsi="Garamond"/>
          <w:sz w:val="28"/>
          <w:szCs w:val="28"/>
        </w:rPr>
        <w:t>Plus généralement s</w:t>
      </w:r>
      <w:bookmarkStart w:id="0" w:name="_GoBack"/>
      <w:bookmarkEnd w:id="0"/>
      <w:r w:rsidR="008B17B9">
        <w:rPr>
          <w:rFonts w:ascii="Garamond" w:hAnsi="Garamond"/>
          <w:sz w:val="28"/>
          <w:szCs w:val="28"/>
        </w:rPr>
        <w:t>i l’on compare avec le</w:t>
      </w:r>
      <w:r w:rsidR="009744FE">
        <w:rPr>
          <w:rFonts w:ascii="Garamond" w:hAnsi="Garamond"/>
          <w:sz w:val="28"/>
          <w:szCs w:val="28"/>
        </w:rPr>
        <w:t xml:space="preserve"> budget de l’Elysée, on constate que la Présidence Française coûte 2,7 fois plus cher avec un effectif supérieur de +66% et un coût salarial individuel de +30% (76 081 euros contre 58 535 euros à la chancellerie).</w:t>
      </w:r>
    </w:p>
    <w:p w:rsidR="00E32866" w:rsidRDefault="000B09E3" w:rsidP="00A11DF7">
      <w:pPr>
        <w:jc w:val="both"/>
        <w:rPr>
          <w:rFonts w:ascii="Garamond" w:hAnsi="Garamond"/>
          <w:sz w:val="28"/>
          <w:szCs w:val="28"/>
        </w:rPr>
      </w:pPr>
      <w:r>
        <w:rPr>
          <w:rFonts w:ascii="Garamond" w:hAnsi="Garamond"/>
          <w:sz w:val="28"/>
          <w:szCs w:val="28"/>
        </w:rPr>
        <w:t>Pour être plus significatif, l</w:t>
      </w:r>
      <w:r w:rsidR="00A11DF7">
        <w:rPr>
          <w:rFonts w:ascii="Garamond" w:hAnsi="Garamond"/>
          <w:sz w:val="28"/>
          <w:szCs w:val="28"/>
        </w:rPr>
        <w:t>a comparaison des deux budgets doit prendre en compte la population et se faire par habitant (</w:t>
      </w:r>
      <w:proofErr w:type="spellStart"/>
      <w:r w:rsidR="00A11DF7">
        <w:rPr>
          <w:rFonts w:ascii="Garamond" w:hAnsi="Garamond"/>
          <w:sz w:val="28"/>
          <w:szCs w:val="28"/>
        </w:rPr>
        <w:t>cf</w:t>
      </w:r>
      <w:proofErr w:type="spellEnd"/>
      <w:r w:rsidR="00A11DF7">
        <w:rPr>
          <w:rFonts w:ascii="Garamond" w:hAnsi="Garamond"/>
          <w:sz w:val="28"/>
          <w:szCs w:val="28"/>
        </w:rPr>
        <w:t xml:space="preserve"> tableau ci-dessous).</w:t>
      </w:r>
    </w:p>
    <w:p w:rsidR="00E32866" w:rsidRDefault="00C465E1" w:rsidP="00E32866">
      <w:pPr>
        <w:jc w:val="center"/>
        <w:rPr>
          <w:rFonts w:ascii="Garamond" w:hAnsi="Garamond"/>
          <w:sz w:val="28"/>
          <w:szCs w:val="28"/>
        </w:rPr>
      </w:pPr>
      <w:r>
        <w:rPr>
          <w:rFonts w:ascii="Garamond" w:hAnsi="Garamond"/>
          <w:sz w:val="28"/>
          <w:szCs w:val="28"/>
        </w:rPr>
        <w:t>DEPENSES PAR HABITANT EN</w:t>
      </w:r>
      <w:r w:rsidR="00E32866">
        <w:rPr>
          <w:rFonts w:ascii="Garamond" w:hAnsi="Garamond"/>
          <w:sz w:val="28"/>
          <w:szCs w:val="28"/>
        </w:rPr>
        <w:t xml:space="preserve"> 2011 (euros)</w:t>
      </w:r>
    </w:p>
    <w:tbl>
      <w:tblPr>
        <w:tblStyle w:val="Grilledutableau"/>
        <w:tblW w:w="0" w:type="auto"/>
        <w:tblLook w:val="04A0" w:firstRow="1" w:lastRow="0" w:firstColumn="1" w:lastColumn="0" w:noHBand="0" w:noVBand="1"/>
      </w:tblPr>
      <w:tblGrid>
        <w:gridCol w:w="2303"/>
        <w:gridCol w:w="2303"/>
        <w:gridCol w:w="2303"/>
        <w:gridCol w:w="2303"/>
      </w:tblGrid>
      <w:tr w:rsidR="00983301" w:rsidTr="00983301">
        <w:tc>
          <w:tcPr>
            <w:tcW w:w="2303" w:type="dxa"/>
          </w:tcPr>
          <w:p w:rsidR="00983301" w:rsidRDefault="00983301" w:rsidP="00A11DF7">
            <w:pPr>
              <w:jc w:val="both"/>
              <w:rPr>
                <w:rFonts w:ascii="Garamond" w:hAnsi="Garamond"/>
                <w:sz w:val="28"/>
                <w:szCs w:val="28"/>
              </w:rPr>
            </w:pPr>
          </w:p>
        </w:tc>
        <w:tc>
          <w:tcPr>
            <w:tcW w:w="2303" w:type="dxa"/>
          </w:tcPr>
          <w:p w:rsidR="00983301" w:rsidRDefault="00E32866" w:rsidP="00983301">
            <w:pPr>
              <w:jc w:val="center"/>
              <w:rPr>
                <w:rFonts w:ascii="Garamond" w:hAnsi="Garamond"/>
                <w:sz w:val="28"/>
                <w:szCs w:val="28"/>
              </w:rPr>
            </w:pPr>
            <w:r>
              <w:rPr>
                <w:rFonts w:ascii="Garamond" w:hAnsi="Garamond"/>
                <w:sz w:val="28"/>
                <w:szCs w:val="28"/>
              </w:rPr>
              <w:t>Allemagne</w:t>
            </w:r>
          </w:p>
        </w:tc>
        <w:tc>
          <w:tcPr>
            <w:tcW w:w="2303" w:type="dxa"/>
          </w:tcPr>
          <w:p w:rsidR="00983301" w:rsidRDefault="00983301" w:rsidP="00983301">
            <w:pPr>
              <w:jc w:val="center"/>
              <w:rPr>
                <w:rFonts w:ascii="Garamond" w:hAnsi="Garamond"/>
                <w:sz w:val="28"/>
                <w:szCs w:val="28"/>
              </w:rPr>
            </w:pPr>
            <w:r>
              <w:rPr>
                <w:rFonts w:ascii="Garamond" w:hAnsi="Garamond"/>
                <w:sz w:val="28"/>
                <w:szCs w:val="28"/>
              </w:rPr>
              <w:t>France</w:t>
            </w:r>
          </w:p>
        </w:tc>
        <w:tc>
          <w:tcPr>
            <w:tcW w:w="2303" w:type="dxa"/>
          </w:tcPr>
          <w:p w:rsidR="00983301" w:rsidRDefault="00983301" w:rsidP="00983301">
            <w:pPr>
              <w:jc w:val="center"/>
              <w:rPr>
                <w:rFonts w:ascii="Garamond" w:hAnsi="Garamond"/>
                <w:sz w:val="28"/>
                <w:szCs w:val="28"/>
              </w:rPr>
            </w:pPr>
            <w:r>
              <w:rPr>
                <w:rFonts w:ascii="Garamond" w:hAnsi="Garamond"/>
                <w:sz w:val="28"/>
                <w:szCs w:val="28"/>
              </w:rPr>
              <w:t>Rapport F/A</w:t>
            </w:r>
          </w:p>
        </w:tc>
      </w:tr>
      <w:tr w:rsidR="00983301" w:rsidTr="00983301">
        <w:tc>
          <w:tcPr>
            <w:tcW w:w="2303" w:type="dxa"/>
          </w:tcPr>
          <w:p w:rsidR="00983301" w:rsidRDefault="00983301" w:rsidP="00A11DF7">
            <w:pPr>
              <w:jc w:val="both"/>
              <w:rPr>
                <w:rFonts w:ascii="Garamond" w:hAnsi="Garamond"/>
                <w:sz w:val="28"/>
                <w:szCs w:val="28"/>
              </w:rPr>
            </w:pPr>
            <w:r>
              <w:rPr>
                <w:rFonts w:ascii="Garamond" w:hAnsi="Garamond"/>
                <w:sz w:val="28"/>
                <w:szCs w:val="28"/>
              </w:rPr>
              <w:t>Dépense totale</w:t>
            </w:r>
          </w:p>
        </w:tc>
        <w:tc>
          <w:tcPr>
            <w:tcW w:w="2303" w:type="dxa"/>
          </w:tcPr>
          <w:p w:rsidR="00983301" w:rsidRDefault="00983301" w:rsidP="00983301">
            <w:pPr>
              <w:jc w:val="center"/>
              <w:rPr>
                <w:rFonts w:ascii="Garamond" w:hAnsi="Garamond"/>
                <w:sz w:val="28"/>
                <w:szCs w:val="28"/>
              </w:rPr>
            </w:pPr>
            <w:r>
              <w:rPr>
                <w:rFonts w:ascii="Garamond" w:hAnsi="Garamond"/>
                <w:sz w:val="28"/>
                <w:szCs w:val="28"/>
              </w:rPr>
              <w:t>0,51</w:t>
            </w:r>
          </w:p>
        </w:tc>
        <w:tc>
          <w:tcPr>
            <w:tcW w:w="2303" w:type="dxa"/>
          </w:tcPr>
          <w:p w:rsidR="00983301" w:rsidRDefault="00983301" w:rsidP="00983301">
            <w:pPr>
              <w:jc w:val="center"/>
              <w:rPr>
                <w:rFonts w:ascii="Garamond" w:hAnsi="Garamond"/>
                <w:sz w:val="28"/>
                <w:szCs w:val="28"/>
              </w:rPr>
            </w:pPr>
            <w:r>
              <w:rPr>
                <w:rFonts w:ascii="Garamond" w:hAnsi="Garamond"/>
                <w:sz w:val="28"/>
                <w:szCs w:val="28"/>
              </w:rPr>
              <w:t>1,77</w:t>
            </w:r>
          </w:p>
        </w:tc>
        <w:tc>
          <w:tcPr>
            <w:tcW w:w="2303" w:type="dxa"/>
          </w:tcPr>
          <w:p w:rsidR="00983301" w:rsidRDefault="00983301" w:rsidP="00983301">
            <w:pPr>
              <w:jc w:val="center"/>
              <w:rPr>
                <w:rFonts w:ascii="Garamond" w:hAnsi="Garamond"/>
                <w:sz w:val="28"/>
                <w:szCs w:val="28"/>
              </w:rPr>
            </w:pPr>
            <w:r>
              <w:rPr>
                <w:rFonts w:ascii="Garamond" w:hAnsi="Garamond"/>
                <w:sz w:val="28"/>
                <w:szCs w:val="28"/>
              </w:rPr>
              <w:t>3,5</w:t>
            </w:r>
          </w:p>
        </w:tc>
      </w:tr>
      <w:tr w:rsidR="00983301" w:rsidTr="00983301">
        <w:tc>
          <w:tcPr>
            <w:tcW w:w="2303" w:type="dxa"/>
          </w:tcPr>
          <w:p w:rsidR="00983301" w:rsidRDefault="00983301" w:rsidP="00A11DF7">
            <w:pPr>
              <w:jc w:val="both"/>
              <w:rPr>
                <w:rFonts w:ascii="Garamond" w:hAnsi="Garamond"/>
                <w:sz w:val="28"/>
                <w:szCs w:val="28"/>
              </w:rPr>
            </w:pPr>
            <w:r>
              <w:rPr>
                <w:rFonts w:ascii="Garamond" w:hAnsi="Garamond"/>
                <w:sz w:val="28"/>
                <w:szCs w:val="28"/>
              </w:rPr>
              <w:t xml:space="preserve">Dépense </w:t>
            </w:r>
          </w:p>
          <w:p w:rsidR="00983301" w:rsidRDefault="00983301" w:rsidP="00A11DF7">
            <w:pPr>
              <w:jc w:val="both"/>
              <w:rPr>
                <w:rFonts w:ascii="Garamond" w:hAnsi="Garamond"/>
                <w:sz w:val="28"/>
                <w:szCs w:val="28"/>
              </w:rPr>
            </w:pPr>
            <w:r>
              <w:rPr>
                <w:rFonts w:ascii="Garamond" w:hAnsi="Garamond"/>
                <w:sz w:val="28"/>
                <w:szCs w:val="28"/>
              </w:rPr>
              <w:t>hors déplacement</w:t>
            </w:r>
          </w:p>
        </w:tc>
        <w:tc>
          <w:tcPr>
            <w:tcW w:w="2303" w:type="dxa"/>
          </w:tcPr>
          <w:p w:rsidR="00983301" w:rsidRDefault="00983301" w:rsidP="00983301">
            <w:pPr>
              <w:jc w:val="center"/>
              <w:rPr>
                <w:rFonts w:ascii="Garamond" w:hAnsi="Garamond"/>
                <w:sz w:val="28"/>
                <w:szCs w:val="28"/>
              </w:rPr>
            </w:pPr>
            <w:r>
              <w:rPr>
                <w:rFonts w:ascii="Garamond" w:hAnsi="Garamond"/>
                <w:sz w:val="28"/>
                <w:szCs w:val="28"/>
              </w:rPr>
              <w:t>0,49</w:t>
            </w:r>
          </w:p>
        </w:tc>
        <w:tc>
          <w:tcPr>
            <w:tcW w:w="2303" w:type="dxa"/>
          </w:tcPr>
          <w:p w:rsidR="00983301" w:rsidRDefault="00983301" w:rsidP="00983301">
            <w:pPr>
              <w:jc w:val="center"/>
              <w:rPr>
                <w:rFonts w:ascii="Garamond" w:hAnsi="Garamond"/>
                <w:sz w:val="28"/>
                <w:szCs w:val="28"/>
              </w:rPr>
            </w:pPr>
            <w:r>
              <w:rPr>
                <w:rFonts w:ascii="Garamond" w:hAnsi="Garamond"/>
                <w:sz w:val="28"/>
                <w:szCs w:val="28"/>
              </w:rPr>
              <w:t>1,44</w:t>
            </w:r>
          </w:p>
        </w:tc>
        <w:tc>
          <w:tcPr>
            <w:tcW w:w="2303" w:type="dxa"/>
          </w:tcPr>
          <w:p w:rsidR="00983301" w:rsidRDefault="00983301" w:rsidP="00983301">
            <w:pPr>
              <w:jc w:val="center"/>
              <w:rPr>
                <w:rFonts w:ascii="Garamond" w:hAnsi="Garamond"/>
                <w:sz w:val="28"/>
                <w:szCs w:val="28"/>
              </w:rPr>
            </w:pPr>
            <w:r>
              <w:rPr>
                <w:rFonts w:ascii="Garamond" w:hAnsi="Garamond"/>
                <w:sz w:val="28"/>
                <w:szCs w:val="28"/>
              </w:rPr>
              <w:t>2,9</w:t>
            </w:r>
          </w:p>
        </w:tc>
      </w:tr>
      <w:tr w:rsidR="00983301" w:rsidTr="00983301">
        <w:tc>
          <w:tcPr>
            <w:tcW w:w="2303" w:type="dxa"/>
          </w:tcPr>
          <w:p w:rsidR="00983301" w:rsidRDefault="00983301" w:rsidP="00A11DF7">
            <w:pPr>
              <w:jc w:val="both"/>
              <w:rPr>
                <w:rFonts w:ascii="Garamond" w:hAnsi="Garamond"/>
                <w:sz w:val="28"/>
                <w:szCs w:val="28"/>
              </w:rPr>
            </w:pPr>
            <w:r>
              <w:rPr>
                <w:rFonts w:ascii="Garamond" w:hAnsi="Garamond"/>
                <w:sz w:val="28"/>
                <w:szCs w:val="28"/>
              </w:rPr>
              <w:t>Dépense courante</w:t>
            </w:r>
          </w:p>
          <w:p w:rsidR="00983301" w:rsidRDefault="00983301" w:rsidP="00A11DF7">
            <w:pPr>
              <w:jc w:val="both"/>
              <w:rPr>
                <w:rFonts w:ascii="Garamond" w:hAnsi="Garamond"/>
                <w:sz w:val="28"/>
                <w:szCs w:val="28"/>
              </w:rPr>
            </w:pPr>
            <w:r>
              <w:rPr>
                <w:rFonts w:ascii="Garamond" w:hAnsi="Garamond"/>
                <w:sz w:val="28"/>
                <w:szCs w:val="28"/>
              </w:rPr>
              <w:t>(hors déplacement et personnel)</w:t>
            </w:r>
          </w:p>
        </w:tc>
        <w:tc>
          <w:tcPr>
            <w:tcW w:w="2303" w:type="dxa"/>
          </w:tcPr>
          <w:p w:rsidR="00983301" w:rsidRDefault="00983301" w:rsidP="00983301">
            <w:pPr>
              <w:jc w:val="center"/>
              <w:rPr>
                <w:rFonts w:ascii="Garamond" w:hAnsi="Garamond"/>
                <w:sz w:val="28"/>
                <w:szCs w:val="28"/>
              </w:rPr>
            </w:pPr>
            <w:r>
              <w:rPr>
                <w:rFonts w:ascii="Garamond" w:hAnsi="Garamond"/>
                <w:sz w:val="28"/>
                <w:szCs w:val="28"/>
              </w:rPr>
              <w:t>0,12</w:t>
            </w:r>
          </w:p>
        </w:tc>
        <w:tc>
          <w:tcPr>
            <w:tcW w:w="2303" w:type="dxa"/>
          </w:tcPr>
          <w:p w:rsidR="00983301" w:rsidRDefault="00983301" w:rsidP="00983301">
            <w:pPr>
              <w:jc w:val="center"/>
              <w:rPr>
                <w:rFonts w:ascii="Garamond" w:hAnsi="Garamond"/>
                <w:sz w:val="28"/>
                <w:szCs w:val="28"/>
              </w:rPr>
            </w:pPr>
            <w:r>
              <w:rPr>
                <w:rFonts w:ascii="Garamond" w:hAnsi="Garamond"/>
                <w:sz w:val="28"/>
                <w:szCs w:val="28"/>
              </w:rPr>
              <w:t>0,40</w:t>
            </w:r>
          </w:p>
        </w:tc>
        <w:tc>
          <w:tcPr>
            <w:tcW w:w="2303" w:type="dxa"/>
          </w:tcPr>
          <w:p w:rsidR="00983301" w:rsidRDefault="00983301" w:rsidP="00983301">
            <w:pPr>
              <w:jc w:val="center"/>
              <w:rPr>
                <w:rFonts w:ascii="Garamond" w:hAnsi="Garamond"/>
                <w:sz w:val="28"/>
                <w:szCs w:val="28"/>
              </w:rPr>
            </w:pPr>
            <w:r>
              <w:rPr>
                <w:rFonts w:ascii="Garamond" w:hAnsi="Garamond"/>
                <w:sz w:val="28"/>
                <w:szCs w:val="28"/>
              </w:rPr>
              <w:t>3,3</w:t>
            </w:r>
          </w:p>
        </w:tc>
      </w:tr>
      <w:tr w:rsidR="00983301" w:rsidTr="00983301">
        <w:tc>
          <w:tcPr>
            <w:tcW w:w="2303" w:type="dxa"/>
          </w:tcPr>
          <w:p w:rsidR="00983301" w:rsidRDefault="00983301" w:rsidP="00A11DF7">
            <w:pPr>
              <w:jc w:val="both"/>
              <w:rPr>
                <w:rFonts w:ascii="Garamond" w:hAnsi="Garamond"/>
                <w:sz w:val="28"/>
                <w:szCs w:val="28"/>
              </w:rPr>
            </w:pPr>
            <w:r>
              <w:rPr>
                <w:rFonts w:ascii="Garamond" w:hAnsi="Garamond"/>
                <w:sz w:val="28"/>
                <w:szCs w:val="28"/>
              </w:rPr>
              <w:t>Dépense</w:t>
            </w:r>
          </w:p>
          <w:p w:rsidR="00983301" w:rsidRDefault="00983301" w:rsidP="00A11DF7">
            <w:pPr>
              <w:jc w:val="both"/>
              <w:rPr>
                <w:rFonts w:ascii="Garamond" w:hAnsi="Garamond"/>
                <w:sz w:val="28"/>
                <w:szCs w:val="28"/>
              </w:rPr>
            </w:pPr>
            <w:r>
              <w:rPr>
                <w:rFonts w:ascii="Garamond" w:hAnsi="Garamond"/>
                <w:sz w:val="28"/>
                <w:szCs w:val="28"/>
              </w:rPr>
              <w:t>de personnel</w:t>
            </w:r>
          </w:p>
        </w:tc>
        <w:tc>
          <w:tcPr>
            <w:tcW w:w="2303" w:type="dxa"/>
          </w:tcPr>
          <w:p w:rsidR="00983301" w:rsidRDefault="00983301" w:rsidP="00983301">
            <w:pPr>
              <w:jc w:val="center"/>
              <w:rPr>
                <w:rFonts w:ascii="Garamond" w:hAnsi="Garamond"/>
                <w:sz w:val="28"/>
                <w:szCs w:val="28"/>
              </w:rPr>
            </w:pPr>
            <w:r>
              <w:rPr>
                <w:rFonts w:ascii="Garamond" w:hAnsi="Garamond"/>
                <w:sz w:val="28"/>
                <w:szCs w:val="28"/>
              </w:rPr>
              <w:t>0,38</w:t>
            </w:r>
          </w:p>
        </w:tc>
        <w:tc>
          <w:tcPr>
            <w:tcW w:w="2303" w:type="dxa"/>
          </w:tcPr>
          <w:p w:rsidR="00983301" w:rsidRDefault="00983301" w:rsidP="00983301">
            <w:pPr>
              <w:jc w:val="center"/>
              <w:rPr>
                <w:rFonts w:ascii="Garamond" w:hAnsi="Garamond"/>
                <w:sz w:val="28"/>
                <w:szCs w:val="28"/>
              </w:rPr>
            </w:pPr>
            <w:r>
              <w:rPr>
                <w:rFonts w:ascii="Garamond" w:hAnsi="Garamond"/>
                <w:sz w:val="28"/>
                <w:szCs w:val="28"/>
              </w:rPr>
              <w:t>1,05</w:t>
            </w:r>
          </w:p>
        </w:tc>
        <w:tc>
          <w:tcPr>
            <w:tcW w:w="2303" w:type="dxa"/>
          </w:tcPr>
          <w:p w:rsidR="00983301" w:rsidRDefault="00983301" w:rsidP="00983301">
            <w:pPr>
              <w:jc w:val="center"/>
              <w:rPr>
                <w:rFonts w:ascii="Garamond" w:hAnsi="Garamond"/>
                <w:sz w:val="28"/>
                <w:szCs w:val="28"/>
              </w:rPr>
            </w:pPr>
            <w:r>
              <w:rPr>
                <w:rFonts w:ascii="Garamond" w:hAnsi="Garamond"/>
                <w:sz w:val="28"/>
                <w:szCs w:val="28"/>
              </w:rPr>
              <w:t>2,8</w:t>
            </w:r>
          </w:p>
        </w:tc>
      </w:tr>
    </w:tbl>
    <w:p w:rsidR="00A11DF7" w:rsidRDefault="00A11DF7" w:rsidP="00A11DF7">
      <w:pPr>
        <w:jc w:val="both"/>
        <w:rPr>
          <w:rFonts w:ascii="Garamond" w:hAnsi="Garamond"/>
          <w:sz w:val="28"/>
          <w:szCs w:val="28"/>
        </w:rPr>
      </w:pPr>
    </w:p>
    <w:p w:rsidR="009041BB" w:rsidRDefault="000B09E3" w:rsidP="00A11DF7">
      <w:pPr>
        <w:jc w:val="both"/>
        <w:rPr>
          <w:rFonts w:ascii="Garamond" w:hAnsi="Garamond"/>
          <w:sz w:val="28"/>
          <w:szCs w:val="28"/>
        </w:rPr>
      </w:pPr>
      <w:r>
        <w:rPr>
          <w:rFonts w:ascii="Garamond" w:hAnsi="Garamond"/>
          <w:sz w:val="28"/>
          <w:szCs w:val="28"/>
        </w:rPr>
        <w:t>Le budget de l’Elysée est 3,5 fois supérieur à celui de la chancellerie par habitant</w:t>
      </w:r>
      <w:r w:rsidR="009041BB">
        <w:rPr>
          <w:rFonts w:ascii="Garamond" w:hAnsi="Garamond"/>
          <w:sz w:val="28"/>
          <w:szCs w:val="28"/>
        </w:rPr>
        <w:t xml:space="preserve"> pour la dépense totale, 2,9 pour la dépense hors frais de déplacements et 3,3 pour la dépense courante (hors déplacements et hors personnel).</w:t>
      </w:r>
    </w:p>
    <w:p w:rsidR="009041BB" w:rsidRDefault="009041BB" w:rsidP="00A11DF7">
      <w:pPr>
        <w:jc w:val="both"/>
        <w:rPr>
          <w:rFonts w:ascii="Garamond" w:hAnsi="Garamond"/>
          <w:sz w:val="28"/>
          <w:szCs w:val="28"/>
        </w:rPr>
      </w:pPr>
      <w:r>
        <w:rPr>
          <w:rFonts w:ascii="Garamond" w:hAnsi="Garamond"/>
          <w:sz w:val="28"/>
          <w:szCs w:val="28"/>
        </w:rPr>
        <w:t xml:space="preserve">La </w:t>
      </w:r>
      <w:r w:rsidR="00C01DDC">
        <w:rPr>
          <w:rFonts w:ascii="Garamond" w:hAnsi="Garamond"/>
          <w:sz w:val="28"/>
          <w:szCs w:val="28"/>
        </w:rPr>
        <w:t>comparaison des deux budgets doit être interprétée avec précauti</w:t>
      </w:r>
      <w:r w:rsidR="004A6458">
        <w:rPr>
          <w:rFonts w:ascii="Garamond" w:hAnsi="Garamond"/>
          <w:sz w:val="28"/>
          <w:szCs w:val="28"/>
        </w:rPr>
        <w:t>on, compte tenu des compétences</w:t>
      </w:r>
      <w:r w:rsidR="00C01DDC">
        <w:rPr>
          <w:rFonts w:ascii="Garamond" w:hAnsi="Garamond"/>
          <w:sz w:val="28"/>
          <w:szCs w:val="28"/>
        </w:rPr>
        <w:t xml:space="preserve"> respectives des deux exécutifs. C’est pourquoi, il a été procédé à des rapprochements éliminant, par exemple, les frais de déplacements (1,3 millions pour la chancellerie, 20 millions pour le Président français). Quoiqu’il en soit le train de vie de la présidence française est sans commune mesure avec celui de la chancellerie allemande. S’il est un modèle allemand de référence, c’est en matière de train de vie de l’</w:t>
      </w:r>
      <w:r w:rsidR="00E32866">
        <w:rPr>
          <w:rFonts w:ascii="Garamond" w:hAnsi="Garamond"/>
          <w:sz w:val="28"/>
          <w:szCs w:val="28"/>
        </w:rPr>
        <w:t>exécutif</w:t>
      </w:r>
      <w:r w:rsidR="00C01DDC">
        <w:rPr>
          <w:rFonts w:ascii="Garamond" w:hAnsi="Garamond"/>
          <w:sz w:val="28"/>
          <w:szCs w:val="28"/>
        </w:rPr>
        <w:t>.</w:t>
      </w:r>
    </w:p>
    <w:sectPr w:rsidR="0090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73"/>
    <w:rsid w:val="00062D47"/>
    <w:rsid w:val="000B09E3"/>
    <w:rsid w:val="00446ED7"/>
    <w:rsid w:val="004A6458"/>
    <w:rsid w:val="00633317"/>
    <w:rsid w:val="008B17B9"/>
    <w:rsid w:val="008B7ED5"/>
    <w:rsid w:val="009041BB"/>
    <w:rsid w:val="009744FE"/>
    <w:rsid w:val="00983301"/>
    <w:rsid w:val="009D22B1"/>
    <w:rsid w:val="00A07CC3"/>
    <w:rsid w:val="00A11DF7"/>
    <w:rsid w:val="00AD6FA4"/>
    <w:rsid w:val="00BB70BD"/>
    <w:rsid w:val="00C01DDC"/>
    <w:rsid w:val="00C465E1"/>
    <w:rsid w:val="00C50AF2"/>
    <w:rsid w:val="00E32866"/>
    <w:rsid w:val="00EC6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7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7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lahouali</dc:creator>
  <cp:lastModifiedBy>lahouali</cp:lastModifiedBy>
  <cp:revision>8</cp:revision>
  <cp:lastPrinted>2012-03-15T16:30:00Z</cp:lastPrinted>
  <dcterms:created xsi:type="dcterms:W3CDTF">2012-03-15T17:23:00Z</dcterms:created>
  <dcterms:modified xsi:type="dcterms:W3CDTF">2012-03-19T17:18:00Z</dcterms:modified>
</cp:coreProperties>
</file>