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FB" w:rsidRPr="00854DEA" w:rsidRDefault="003654FB" w:rsidP="003654FB">
      <w:pPr>
        <w:tabs>
          <w:tab w:val="left" w:pos="4820"/>
          <w:tab w:val="left" w:pos="5670"/>
        </w:tabs>
        <w:jc w:val="both"/>
        <w:rPr>
          <w:rFonts w:ascii="Arial" w:hAnsi="Arial" w:cs="Arial"/>
          <w:b/>
          <w:sz w:val="28"/>
          <w:szCs w:val="28"/>
        </w:rPr>
      </w:pPr>
      <w:r w:rsidRPr="00854DEA">
        <w:rPr>
          <w:rFonts w:ascii="Arial" w:hAnsi="Arial" w:cs="Arial"/>
          <w:b/>
          <w:sz w:val="28"/>
          <w:szCs w:val="28"/>
        </w:rPr>
        <w:t>L’évaluation de la performance.</w:t>
      </w:r>
    </w:p>
    <w:p w:rsidR="003654FB" w:rsidRDefault="003654FB" w:rsidP="003654FB">
      <w:pPr>
        <w:tabs>
          <w:tab w:val="left" w:pos="4820"/>
          <w:tab w:val="left" w:pos="5670"/>
        </w:tabs>
        <w:jc w:val="both"/>
        <w:rPr>
          <w:rFonts w:ascii="Arial" w:hAnsi="Arial" w:cs="Arial"/>
        </w:rPr>
      </w:pPr>
    </w:p>
    <w:p w:rsidR="003654FB" w:rsidRDefault="003654FB" w:rsidP="003654FB">
      <w:pPr>
        <w:overflowPunct w:val="0"/>
        <w:autoSpaceDE w:val="0"/>
        <w:autoSpaceDN w:val="0"/>
        <w:adjustRightInd w:val="0"/>
        <w:jc w:val="both"/>
        <w:textAlignment w:val="baseline"/>
        <w:rPr>
          <w:rStyle w:val="Fort"/>
          <w:rFonts w:ascii="Arial" w:hAnsi="Arial" w:cs="Arial"/>
          <w:b w:val="0"/>
        </w:rPr>
      </w:pPr>
      <w:r>
        <w:rPr>
          <w:rStyle w:val="Fort"/>
          <w:rFonts w:ascii="Arial" w:hAnsi="Arial" w:cs="Arial"/>
          <w:b w:val="0"/>
        </w:rPr>
        <w:t>-</w:t>
      </w:r>
      <w:r w:rsidRPr="003654FB">
        <w:rPr>
          <w:rStyle w:val="Fort"/>
          <w:rFonts w:ascii="Arial" w:hAnsi="Arial" w:cs="Arial"/>
          <w:b w:val="0"/>
        </w:rPr>
        <w:t xml:space="preserve">Le compte de résultat </w:t>
      </w:r>
    </w:p>
    <w:p w:rsidR="003654FB" w:rsidRPr="003654FB" w:rsidRDefault="003654FB" w:rsidP="003654FB">
      <w:pPr>
        <w:overflowPunct w:val="0"/>
        <w:autoSpaceDE w:val="0"/>
        <w:autoSpaceDN w:val="0"/>
        <w:adjustRightInd w:val="0"/>
        <w:jc w:val="both"/>
        <w:textAlignment w:val="baseline"/>
        <w:rPr>
          <w:rFonts w:ascii="Arial" w:hAnsi="Arial" w:cs="Arial"/>
          <w:b/>
          <w:sz w:val="18"/>
          <w:szCs w:val="18"/>
        </w:rPr>
      </w:pPr>
      <w:r>
        <w:rPr>
          <w:rStyle w:val="Fort"/>
          <w:rFonts w:ascii="Arial" w:hAnsi="Arial" w:cs="Arial"/>
          <w:b w:val="0"/>
        </w:rPr>
        <w:t xml:space="preserve">Il </w:t>
      </w:r>
      <w:r w:rsidRPr="003654FB">
        <w:rPr>
          <w:rStyle w:val="Fort"/>
          <w:rFonts w:ascii="Arial" w:hAnsi="Arial" w:cs="Arial"/>
          <w:b w:val="0"/>
        </w:rPr>
        <w:t xml:space="preserve">compare les produits et les charges d’une entreprise et définit les soldes intermédiaires de gestion ci-dessous : </w:t>
      </w:r>
    </w:p>
    <w:p w:rsidR="003654FB" w:rsidRDefault="003654FB" w:rsidP="003654FB">
      <w:pPr>
        <w:jc w:val="both"/>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_x0000_s1049" type="#_x0000_t202" style="position:absolute;left:0;text-align:left;margin-left:-3.4pt;margin-top:36.15pt;width:457.75pt;height:52.45pt;z-index:251683840;mso-height-percent:200;mso-height-percent:200;mso-width-relative:margin;mso-height-relative:margin">
            <v:textbox style="mso-fit-shape-to-text:t">
              <w:txbxContent>
                <w:p w:rsidR="003654FB" w:rsidRPr="003C2891" w:rsidRDefault="003654FB" w:rsidP="003654FB">
                  <w:pPr>
                    <w:jc w:val="both"/>
                    <w:rPr>
                      <w:rFonts w:ascii="Arial" w:hAnsi="Arial" w:cs="Arial"/>
                      <w:i/>
                      <w:sz w:val="18"/>
                      <w:szCs w:val="18"/>
                    </w:rPr>
                  </w:pPr>
                  <w:r w:rsidRPr="003C2891">
                    <w:rPr>
                      <w:rFonts w:ascii="Arial" w:hAnsi="Arial" w:cs="Arial"/>
                      <w:i/>
                      <w:sz w:val="18"/>
                      <w:szCs w:val="18"/>
                    </w:rPr>
                    <w:t>Production de l’exercice</w:t>
                  </w:r>
                  <w:r w:rsidRPr="003C2891">
                    <w:rPr>
                      <w:rFonts w:ascii="Arial" w:hAnsi="Arial" w:cs="Arial"/>
                      <w:sz w:val="18"/>
                      <w:szCs w:val="18"/>
                    </w:rPr>
                    <w:t xml:space="preserve"> =</w:t>
                  </w:r>
                  <w:r w:rsidRPr="003C2891">
                    <w:rPr>
                      <w:rFonts w:ascii="Arial" w:hAnsi="Arial" w:cs="Arial"/>
                      <w:i/>
                      <w:sz w:val="18"/>
                      <w:szCs w:val="18"/>
                    </w:rPr>
                    <w:t>Production vendue ± Production stockée+ Production immobilisée.</w:t>
                  </w:r>
                </w:p>
                <w:p w:rsidR="003654FB" w:rsidRDefault="003654FB" w:rsidP="003654FB"/>
              </w:txbxContent>
            </v:textbox>
          </v:shape>
        </w:pict>
      </w:r>
      <w:r w:rsidRPr="00551E1E">
        <w:rPr>
          <w:noProof/>
          <w:sz w:val="18"/>
          <w:szCs w:val="18"/>
        </w:rPr>
        <w:pict>
          <v:shape id="_x0000_s1048" type="#_x0000_t202" style="position:absolute;left:0;text-align:left;margin-left:-3.4pt;margin-top:2.4pt;width:454.35pt;height:28.65pt;z-index:251682816;mso-wrap-style:none">
            <v:textbox style="mso-next-textbox:#_x0000_s1048;mso-fit-shape-to-text:t">
              <w:txbxContent>
                <w:p w:rsidR="003654FB" w:rsidRPr="003C2891" w:rsidRDefault="003654FB" w:rsidP="003654FB">
                  <w:pPr>
                    <w:jc w:val="both"/>
                    <w:rPr>
                      <w:rFonts w:ascii="Arial" w:hAnsi="Arial" w:cs="Arial"/>
                      <w:i/>
                      <w:sz w:val="18"/>
                      <w:szCs w:val="18"/>
                    </w:rPr>
                  </w:pPr>
                  <w:r w:rsidRPr="003C2891">
                    <w:rPr>
                      <w:rFonts w:ascii="Arial" w:hAnsi="Arial" w:cs="Arial"/>
                      <w:i/>
                      <w:sz w:val="18"/>
                      <w:szCs w:val="18"/>
                    </w:rPr>
                    <w:t>Marge commerciale</w:t>
                  </w:r>
                  <w:r w:rsidRPr="003C2891">
                    <w:rPr>
                      <w:rFonts w:ascii="Arial" w:hAnsi="Arial" w:cs="Arial"/>
                      <w:sz w:val="18"/>
                      <w:szCs w:val="18"/>
                    </w:rPr>
                    <w:t xml:space="preserve"> =: </w:t>
                  </w:r>
                  <w:r w:rsidRPr="003C2891">
                    <w:rPr>
                      <w:rFonts w:ascii="Arial" w:hAnsi="Arial" w:cs="Arial"/>
                      <w:i/>
                      <w:sz w:val="18"/>
                      <w:szCs w:val="18"/>
                    </w:rPr>
                    <w:t>Vente de marchandises- Coût d’achat des marchandises vendues (achats de marchandises ± Variation de stocks de marchandises)</w:t>
                  </w:r>
                </w:p>
              </w:txbxContent>
            </v:textbox>
            <w10:wrap type="square"/>
          </v:shape>
        </w:pict>
      </w:r>
    </w:p>
    <w:p w:rsidR="003654FB" w:rsidRDefault="003654FB" w:rsidP="003654FB">
      <w:pPr>
        <w:jc w:val="both"/>
        <w:rPr>
          <w:rFonts w:ascii="Arial" w:hAnsi="Arial" w:cs="Arial"/>
          <w:sz w:val="18"/>
          <w:szCs w:val="18"/>
        </w:rPr>
      </w:pPr>
    </w:p>
    <w:p w:rsidR="003654FB" w:rsidRDefault="003654FB" w:rsidP="003654FB">
      <w:pPr>
        <w:jc w:val="both"/>
        <w:rPr>
          <w:rFonts w:ascii="Arial" w:hAnsi="Arial" w:cs="Arial"/>
          <w:sz w:val="18"/>
          <w:szCs w:val="18"/>
        </w:rPr>
      </w:pPr>
    </w:p>
    <w:p w:rsidR="003654FB" w:rsidRPr="003C2891" w:rsidRDefault="003654FB" w:rsidP="003654FB">
      <w:pPr>
        <w:jc w:val="both"/>
        <w:rPr>
          <w:rFonts w:ascii="Arial" w:hAnsi="Arial" w:cs="Arial"/>
          <w:sz w:val="18"/>
          <w:szCs w:val="18"/>
        </w:rPr>
      </w:pPr>
    </w:p>
    <w:p w:rsidR="003654FB" w:rsidRPr="003C2891" w:rsidRDefault="003654FB" w:rsidP="003654FB">
      <w:pPr>
        <w:jc w:val="both"/>
        <w:rPr>
          <w:rFonts w:ascii="Arial" w:hAnsi="Arial" w:cs="Arial"/>
          <w:sz w:val="18"/>
          <w:szCs w:val="18"/>
        </w:rPr>
      </w:pPr>
    </w:p>
    <w:p w:rsidR="003654FB" w:rsidRPr="006166D4" w:rsidRDefault="003654FB" w:rsidP="003654FB">
      <w:pPr>
        <w:jc w:val="both"/>
        <w:rPr>
          <w:rFonts w:ascii="Arial" w:hAnsi="Arial" w:cs="Arial"/>
          <w:sz w:val="18"/>
          <w:szCs w:val="18"/>
        </w:rPr>
      </w:pPr>
      <w:r>
        <w:rPr>
          <w:rFonts w:ascii="Arial" w:hAnsi="Arial" w:cs="Arial"/>
          <w:noProof/>
          <w:sz w:val="18"/>
          <w:szCs w:val="18"/>
        </w:rPr>
        <w:pict>
          <v:shape id="_x0000_s1050" type="#_x0000_t202" style="position:absolute;left:0;text-align:left;margin-left:0;margin-top:45.6pt;width:457.85pt;height:29.6pt;z-index:251684864;mso-width-relative:margin;mso-height-relative:margin">
            <v:textbox style="mso-next-textbox:#_x0000_s1050">
              <w:txbxContent>
                <w:p w:rsidR="003654FB" w:rsidRPr="003C2891" w:rsidRDefault="003654FB" w:rsidP="003654FB">
                  <w:pPr>
                    <w:jc w:val="both"/>
                    <w:rPr>
                      <w:rFonts w:ascii="Arial" w:hAnsi="Arial" w:cs="Arial"/>
                      <w:i/>
                      <w:sz w:val="18"/>
                      <w:szCs w:val="18"/>
                    </w:rPr>
                  </w:pPr>
                  <w:r w:rsidRPr="003C2891">
                    <w:rPr>
                      <w:rFonts w:ascii="Arial" w:hAnsi="Arial" w:cs="Arial"/>
                      <w:i/>
                      <w:sz w:val="18"/>
                      <w:szCs w:val="18"/>
                    </w:rPr>
                    <w:t>Résultat de l’exercice=  Résultat courant avant impôt + résultat exceptionnel – impôt sur les bénéfices – participations des salariés.</w:t>
                  </w:r>
                </w:p>
                <w:p w:rsidR="003654FB" w:rsidRDefault="003654FB" w:rsidP="003654FB"/>
              </w:txbxContent>
            </v:textbox>
          </v:shape>
        </w:pict>
      </w:r>
      <w:r w:rsidRPr="00551E1E">
        <w:rPr>
          <w:noProof/>
          <w:sz w:val="18"/>
          <w:szCs w:val="18"/>
        </w:rPr>
        <w:pict>
          <v:shape id="_x0000_s1046" type="#_x0000_t202" style="position:absolute;left:0;text-align:left;margin-left:0;margin-top:45.3pt;width:454.35pt;height:28.65pt;z-index:251680768;mso-wrap-style:none">
            <v:textbox style="mso-next-textbox:#_x0000_s1046;mso-fit-shape-to-text:t">
              <w:txbxContent>
                <w:p w:rsidR="003654FB" w:rsidRPr="003C2891" w:rsidRDefault="003654FB" w:rsidP="003654FB">
                  <w:pPr>
                    <w:jc w:val="both"/>
                    <w:rPr>
                      <w:rFonts w:ascii="Arial" w:hAnsi="Arial" w:cs="Arial"/>
                      <w:i/>
                      <w:sz w:val="18"/>
                      <w:szCs w:val="18"/>
                    </w:rPr>
                  </w:pPr>
                  <w:r w:rsidRPr="003C2891">
                    <w:rPr>
                      <w:rFonts w:ascii="Arial" w:hAnsi="Arial" w:cs="Arial"/>
                      <w:i/>
                      <w:sz w:val="18"/>
                      <w:szCs w:val="18"/>
                    </w:rPr>
                    <w:t>EBE</w:t>
                  </w:r>
                  <w:r w:rsidRPr="003C2891">
                    <w:rPr>
                      <w:rFonts w:ascii="Arial" w:hAnsi="Arial" w:cs="Arial"/>
                      <w:sz w:val="18"/>
                      <w:szCs w:val="18"/>
                    </w:rPr>
                    <w:t>=</w:t>
                  </w:r>
                  <w:r w:rsidRPr="003C2891">
                    <w:rPr>
                      <w:rFonts w:ascii="Arial" w:hAnsi="Arial" w:cs="Arial"/>
                      <w:i/>
                      <w:sz w:val="18"/>
                      <w:szCs w:val="18"/>
                    </w:rPr>
                    <w:t>Valeur ajoutée de l’entreprise + Subvention d’investissement - Impôts, taxes et versements assimilés - Charges de personnel.</w:t>
                  </w:r>
                </w:p>
              </w:txbxContent>
            </v:textbox>
            <w10:wrap type="square"/>
          </v:shape>
        </w:pict>
      </w:r>
      <w:r w:rsidRPr="00551E1E">
        <w:rPr>
          <w:noProof/>
          <w:sz w:val="18"/>
          <w:szCs w:val="18"/>
        </w:rPr>
        <w:pict>
          <v:shape id="_x0000_s1047" type="#_x0000_t202" style="position:absolute;left:0;text-align:left;margin-left:0;margin-top:0;width:454.25pt;height:33.25pt;z-index:251681792;mso-wrap-style:none">
            <v:textbox style="mso-fit-shape-to-text:t">
              <w:txbxContent>
                <w:p w:rsidR="003654FB" w:rsidRPr="003C2891" w:rsidRDefault="003654FB" w:rsidP="003654FB">
                  <w:pPr>
                    <w:jc w:val="both"/>
                    <w:rPr>
                      <w:rFonts w:ascii="Arial" w:hAnsi="Arial" w:cs="Arial"/>
                      <w:i/>
                      <w:sz w:val="18"/>
                      <w:szCs w:val="18"/>
                    </w:rPr>
                  </w:pPr>
                  <w:r w:rsidRPr="003C2891">
                    <w:rPr>
                      <w:rFonts w:ascii="Arial" w:hAnsi="Arial" w:cs="Arial"/>
                      <w:i/>
                      <w:sz w:val="18"/>
                      <w:szCs w:val="18"/>
                    </w:rPr>
                    <w:t>Valeur ajoutée</w:t>
                  </w:r>
                  <w:r w:rsidRPr="003C2891">
                    <w:rPr>
                      <w:rFonts w:ascii="Arial" w:hAnsi="Arial" w:cs="Arial"/>
                      <w:sz w:val="18"/>
                      <w:szCs w:val="18"/>
                    </w:rPr>
                    <w:t xml:space="preserve"> = </w:t>
                  </w:r>
                  <w:r w:rsidRPr="003C2891">
                    <w:rPr>
                      <w:rFonts w:ascii="Arial" w:hAnsi="Arial" w:cs="Arial"/>
                      <w:i/>
                      <w:sz w:val="18"/>
                      <w:szCs w:val="18"/>
                    </w:rPr>
                    <w:t>Marge commerciale + production de l’exercice – Consommation de l’exercice en provenance de tiers.</w:t>
                  </w:r>
                </w:p>
              </w:txbxContent>
            </v:textbox>
            <w10:wrap type="square"/>
          </v:shape>
        </w:pict>
      </w:r>
      <w:r w:rsidRPr="00551E1E">
        <w:rPr>
          <w:noProof/>
          <w:sz w:val="18"/>
          <w:szCs w:val="18"/>
        </w:rPr>
        <w:pict>
          <v:shape id="_x0000_s1044" type="#_x0000_t202" style="position:absolute;left:0;text-align:left;margin-left:0;margin-top:0;width:454.25pt;height:33.25pt;z-index:251678720;mso-wrap-style:none">
            <v:textbox style="mso-next-textbox:#_x0000_s1044;mso-fit-shape-to-text:t">
              <w:txbxContent>
                <w:p w:rsidR="003654FB" w:rsidRPr="003C2891" w:rsidRDefault="003654FB" w:rsidP="003654FB">
                  <w:pPr>
                    <w:jc w:val="both"/>
                    <w:rPr>
                      <w:rFonts w:ascii="Arial" w:hAnsi="Arial" w:cs="Arial"/>
                      <w:i/>
                      <w:sz w:val="18"/>
                      <w:szCs w:val="18"/>
                    </w:rPr>
                  </w:pPr>
                  <w:r w:rsidRPr="003C2891">
                    <w:rPr>
                      <w:rFonts w:ascii="Arial" w:hAnsi="Arial" w:cs="Arial"/>
                      <w:i/>
                      <w:sz w:val="18"/>
                      <w:szCs w:val="18"/>
                    </w:rPr>
                    <w:t>Résultat d’exploitation =EBE +reprises sur provisions d’exploitation+autres produits d’exploitation- dotation aux amortissements et provisions-autres charges d’exploitation.</w:t>
                  </w:r>
                </w:p>
              </w:txbxContent>
            </v:textbox>
            <w10:wrap type="square"/>
          </v:shape>
        </w:pict>
      </w:r>
    </w:p>
    <w:p w:rsidR="003654FB" w:rsidRPr="003C2891" w:rsidRDefault="003654FB" w:rsidP="003654FB">
      <w:pPr>
        <w:jc w:val="both"/>
        <w:rPr>
          <w:rFonts w:ascii="Arial" w:hAnsi="Arial" w:cs="Arial"/>
          <w:sz w:val="18"/>
          <w:szCs w:val="18"/>
        </w:rPr>
      </w:pPr>
      <w:r w:rsidRPr="00551E1E">
        <w:rPr>
          <w:noProof/>
          <w:sz w:val="18"/>
          <w:szCs w:val="18"/>
        </w:rPr>
        <w:pict>
          <v:shape id="_x0000_s1045" type="#_x0000_t202" style="position:absolute;left:0;text-align:left;margin-left:0;margin-top:0;width:454.25pt;height:33.25pt;z-index:251679744;mso-wrap-style:none">
            <v:textbox style="mso-next-textbox:#_x0000_s1045;mso-fit-shape-to-text:t">
              <w:txbxContent>
                <w:p w:rsidR="003654FB" w:rsidRPr="003C2891" w:rsidRDefault="003654FB" w:rsidP="003654FB">
                  <w:pPr>
                    <w:jc w:val="both"/>
                    <w:rPr>
                      <w:rFonts w:ascii="Arial" w:hAnsi="Arial" w:cs="Arial"/>
                      <w:i/>
                      <w:sz w:val="18"/>
                      <w:szCs w:val="18"/>
                    </w:rPr>
                  </w:pPr>
                  <w:r w:rsidRPr="003C2891">
                    <w:rPr>
                      <w:rFonts w:ascii="Arial" w:hAnsi="Arial" w:cs="Arial"/>
                      <w:i/>
                      <w:sz w:val="18"/>
                      <w:szCs w:val="18"/>
                    </w:rPr>
                    <w:t>Résultat courant avant impôt =résultat d’exploitation+ résultat financier (produits financiers-charges financières).</w:t>
                  </w:r>
                </w:p>
              </w:txbxContent>
            </v:textbox>
            <w10:wrap type="square"/>
          </v:shape>
        </w:pict>
      </w:r>
      <w:r w:rsidRPr="003C2891">
        <w:rPr>
          <w:rFonts w:ascii="Arial" w:hAnsi="Arial" w:cs="Arial"/>
          <w:sz w:val="18"/>
          <w:szCs w:val="18"/>
        </w:rPr>
        <w:t>.</w:t>
      </w:r>
    </w:p>
    <w:p w:rsidR="003654FB" w:rsidRPr="003C2891" w:rsidRDefault="003654FB" w:rsidP="003654FB">
      <w:pPr>
        <w:jc w:val="both"/>
        <w:rPr>
          <w:rFonts w:ascii="Arial" w:hAnsi="Arial" w:cs="Arial"/>
          <w:i/>
          <w:sz w:val="18"/>
          <w:szCs w:val="18"/>
        </w:rPr>
      </w:pPr>
    </w:p>
    <w:p w:rsidR="003654FB" w:rsidRDefault="003654FB" w:rsidP="003654FB">
      <w:pPr>
        <w:jc w:val="both"/>
        <w:rPr>
          <w:rFonts w:ascii="Arial" w:hAnsi="Arial" w:cs="Arial"/>
        </w:rPr>
      </w:pPr>
    </w:p>
    <w:p w:rsidR="003654FB" w:rsidRPr="008559A2" w:rsidRDefault="003654FB" w:rsidP="003654FB">
      <w:pPr>
        <w:jc w:val="both"/>
        <w:rPr>
          <w:rFonts w:ascii="Arial" w:hAnsi="Arial" w:cs="Arial"/>
        </w:rPr>
      </w:pPr>
      <w:r>
        <w:rPr>
          <w:rFonts w:ascii="Arial" w:hAnsi="Arial" w:cs="Arial"/>
        </w:rPr>
        <w:t xml:space="preserve">Les ratios qui en découlent sont </w:t>
      </w:r>
    </w:p>
    <w:tbl>
      <w:tblPr>
        <w:tblW w:w="5000" w:type="pct"/>
        <w:tblLook w:val="0000"/>
      </w:tblPr>
      <w:tblGrid>
        <w:gridCol w:w="3394"/>
        <w:gridCol w:w="2916"/>
        <w:gridCol w:w="2978"/>
      </w:tblGrid>
      <w:tr w:rsidR="003654FB" w:rsidRPr="0022082B" w:rsidTr="0085361E">
        <w:tc>
          <w:tcPr>
            <w:tcW w:w="1827" w:type="pct"/>
            <w:tcBorders>
              <w:top w:val="single" w:sz="6" w:space="0" w:color="auto"/>
              <w:left w:val="single" w:sz="6" w:space="0" w:color="auto"/>
              <w:bottom w:val="single" w:sz="6" w:space="0" w:color="auto"/>
              <w:right w:val="single" w:sz="6" w:space="0" w:color="auto"/>
            </w:tcBorders>
          </w:tcPr>
          <w:p w:rsidR="003654FB" w:rsidRPr="00DB2115" w:rsidRDefault="003654FB" w:rsidP="0085361E">
            <w:pPr>
              <w:pStyle w:val="Textepardfaut"/>
              <w:jc w:val="both"/>
              <w:rPr>
                <w:rStyle w:val="Fort"/>
                <w:rFonts w:ascii="Arial" w:hAnsi="Arial" w:cs="Arial"/>
                <w:b w:val="0"/>
                <w:sz w:val="18"/>
                <w:szCs w:val="18"/>
              </w:rPr>
            </w:pPr>
            <w:r w:rsidRPr="00DB2115">
              <w:rPr>
                <w:rFonts w:ascii="Arial" w:hAnsi="Arial" w:cs="Arial"/>
                <w:sz w:val="18"/>
                <w:szCs w:val="18"/>
              </w:rPr>
              <w:t>Critères</w:t>
            </w:r>
          </w:p>
        </w:tc>
        <w:tc>
          <w:tcPr>
            <w:tcW w:w="1570" w:type="pct"/>
            <w:tcBorders>
              <w:top w:val="single" w:sz="6" w:space="0" w:color="auto"/>
              <w:left w:val="single" w:sz="6" w:space="0" w:color="auto"/>
              <w:bottom w:val="single" w:sz="6" w:space="0" w:color="auto"/>
              <w:right w:val="single" w:sz="6" w:space="0" w:color="auto"/>
            </w:tcBorders>
          </w:tcPr>
          <w:p w:rsidR="003654FB" w:rsidRPr="00DB2115" w:rsidRDefault="003654FB" w:rsidP="0085361E">
            <w:pPr>
              <w:pStyle w:val="Textepardfaut"/>
              <w:jc w:val="both"/>
              <w:rPr>
                <w:rStyle w:val="Fort"/>
                <w:rFonts w:ascii="Arial" w:hAnsi="Arial" w:cs="Arial"/>
                <w:b w:val="0"/>
                <w:sz w:val="18"/>
                <w:szCs w:val="18"/>
              </w:rPr>
            </w:pPr>
            <w:r w:rsidRPr="00DB2115">
              <w:rPr>
                <w:rFonts w:ascii="Arial" w:hAnsi="Arial" w:cs="Arial"/>
                <w:sz w:val="18"/>
                <w:szCs w:val="18"/>
              </w:rPr>
              <w:t>Ratios</w:t>
            </w:r>
          </w:p>
        </w:tc>
        <w:tc>
          <w:tcPr>
            <w:tcW w:w="1603" w:type="pct"/>
            <w:tcBorders>
              <w:top w:val="single" w:sz="6" w:space="0" w:color="auto"/>
              <w:left w:val="single" w:sz="6" w:space="0" w:color="auto"/>
              <w:bottom w:val="single" w:sz="6" w:space="0" w:color="auto"/>
              <w:right w:val="single" w:sz="6" w:space="0" w:color="auto"/>
            </w:tcBorders>
          </w:tcPr>
          <w:p w:rsidR="003654FB" w:rsidRPr="00DB2115" w:rsidRDefault="003654FB" w:rsidP="0085361E">
            <w:pPr>
              <w:pStyle w:val="Textepardfaut"/>
              <w:jc w:val="both"/>
              <w:rPr>
                <w:rStyle w:val="Fort"/>
                <w:rFonts w:ascii="Arial" w:hAnsi="Arial" w:cs="Arial"/>
                <w:b w:val="0"/>
                <w:sz w:val="18"/>
                <w:szCs w:val="18"/>
              </w:rPr>
            </w:pPr>
            <w:r w:rsidRPr="00DB2115">
              <w:rPr>
                <w:rFonts w:ascii="Arial" w:hAnsi="Arial" w:cs="Arial"/>
                <w:sz w:val="18"/>
                <w:szCs w:val="18"/>
              </w:rPr>
              <w:t>Formules</w:t>
            </w:r>
          </w:p>
        </w:tc>
      </w:tr>
      <w:tr w:rsidR="003654FB" w:rsidRPr="0022082B" w:rsidTr="0085361E">
        <w:tc>
          <w:tcPr>
            <w:tcW w:w="1827" w:type="pct"/>
            <w:vMerge w:val="restart"/>
            <w:tcBorders>
              <w:top w:val="single" w:sz="6" w:space="0" w:color="auto"/>
              <w:left w:val="single" w:sz="6" w:space="0" w:color="auto"/>
              <w:right w:val="single" w:sz="6" w:space="0" w:color="auto"/>
            </w:tcBorders>
          </w:tcPr>
          <w:p w:rsidR="003654FB" w:rsidRPr="003654FB" w:rsidRDefault="003654FB" w:rsidP="0085361E">
            <w:pPr>
              <w:jc w:val="both"/>
              <w:rPr>
                <w:rFonts w:ascii="Arial" w:hAnsi="Arial" w:cs="Arial"/>
                <w:b/>
                <w:sz w:val="18"/>
                <w:szCs w:val="18"/>
              </w:rPr>
            </w:pPr>
            <w:r w:rsidRPr="003654FB">
              <w:rPr>
                <w:rStyle w:val="Fort"/>
                <w:rFonts w:ascii="Arial" w:hAnsi="Arial" w:cs="Arial"/>
                <w:b w:val="0"/>
                <w:sz w:val="18"/>
                <w:szCs w:val="18"/>
              </w:rPr>
              <w:t>Marge commerciale</w:t>
            </w:r>
          </w:p>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Ces ratios mesurent la marge laissée par les entreprises.</w:t>
            </w:r>
          </w:p>
        </w:tc>
        <w:tc>
          <w:tcPr>
            <w:tcW w:w="1570"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Taux de marque</w:t>
            </w:r>
          </w:p>
        </w:tc>
        <w:tc>
          <w:tcPr>
            <w:tcW w:w="1603"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marge commerciale/ca</w:t>
            </w:r>
          </w:p>
        </w:tc>
      </w:tr>
      <w:tr w:rsidR="003654FB" w:rsidRPr="0022082B" w:rsidTr="0085361E">
        <w:tc>
          <w:tcPr>
            <w:tcW w:w="1827" w:type="pct"/>
            <w:vMerge/>
            <w:tcBorders>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p>
        </w:tc>
        <w:tc>
          <w:tcPr>
            <w:tcW w:w="1570"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Taux de marge</w:t>
            </w:r>
          </w:p>
        </w:tc>
        <w:tc>
          <w:tcPr>
            <w:tcW w:w="1603"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marge commerciale/prix d'achat</w:t>
            </w:r>
          </w:p>
        </w:tc>
      </w:tr>
      <w:tr w:rsidR="003654FB" w:rsidRPr="0022082B" w:rsidTr="0085361E">
        <w:tc>
          <w:tcPr>
            <w:tcW w:w="1827" w:type="pct"/>
            <w:vMerge w:val="restart"/>
            <w:tcBorders>
              <w:top w:val="single" w:sz="6" w:space="0" w:color="auto"/>
              <w:left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r w:rsidRPr="003654FB">
              <w:rPr>
                <w:rFonts w:ascii="Arial" w:hAnsi="Arial" w:cs="Arial"/>
                <w:sz w:val="18"/>
                <w:szCs w:val="18"/>
              </w:rPr>
              <w:t xml:space="preserve">Valeur ajoutée </w:t>
            </w:r>
          </w:p>
          <w:p w:rsidR="003654FB" w:rsidRPr="003654FB" w:rsidRDefault="003654FB" w:rsidP="0085361E">
            <w:pPr>
              <w:pStyle w:val="Textepardfaut"/>
              <w:jc w:val="both"/>
              <w:rPr>
                <w:rStyle w:val="Fort"/>
                <w:rFonts w:ascii="Arial" w:hAnsi="Arial" w:cs="Arial"/>
                <w:b w:val="0"/>
                <w:sz w:val="18"/>
                <w:szCs w:val="18"/>
              </w:rPr>
            </w:pPr>
            <w:r w:rsidRPr="003654FB">
              <w:rPr>
                <w:rStyle w:val="Fort"/>
                <w:rFonts w:ascii="Arial" w:hAnsi="Arial" w:cs="Arial"/>
                <w:b w:val="0"/>
                <w:sz w:val="18"/>
                <w:szCs w:val="18"/>
              </w:rPr>
              <w:t>Mesure l'aptitude d'une entreprise à créer des richesses à partir de son activité</w:t>
            </w:r>
            <w:r w:rsidRPr="003654FB">
              <w:rPr>
                <w:rFonts w:ascii="Arial" w:hAnsi="Arial" w:cs="Arial"/>
                <w:sz w:val="18"/>
                <w:szCs w:val="18"/>
              </w:rPr>
              <w:t xml:space="preserve"> ou des capitaux investis</w:t>
            </w:r>
          </w:p>
        </w:tc>
        <w:tc>
          <w:tcPr>
            <w:tcW w:w="1570"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r w:rsidRPr="003654FB">
              <w:rPr>
                <w:rFonts w:ascii="Arial" w:hAnsi="Arial" w:cs="Arial"/>
                <w:sz w:val="18"/>
                <w:szCs w:val="18"/>
              </w:rPr>
              <w:t>A partir de l’activité</w:t>
            </w:r>
          </w:p>
        </w:tc>
        <w:tc>
          <w:tcPr>
            <w:tcW w:w="1603"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r w:rsidRPr="003654FB">
              <w:rPr>
                <w:rFonts w:ascii="Arial" w:hAnsi="Arial" w:cs="Arial"/>
                <w:sz w:val="18"/>
                <w:szCs w:val="18"/>
              </w:rPr>
              <w:t>VA/CA</w:t>
            </w:r>
          </w:p>
        </w:tc>
      </w:tr>
      <w:tr w:rsidR="003654FB" w:rsidRPr="0022082B" w:rsidTr="0085361E">
        <w:tc>
          <w:tcPr>
            <w:tcW w:w="1827" w:type="pct"/>
            <w:vMerge/>
            <w:tcBorders>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p>
        </w:tc>
        <w:tc>
          <w:tcPr>
            <w:tcW w:w="1570"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r w:rsidRPr="003654FB">
              <w:rPr>
                <w:rFonts w:ascii="Arial" w:hAnsi="Arial" w:cs="Arial"/>
                <w:sz w:val="18"/>
                <w:szCs w:val="18"/>
              </w:rPr>
              <w:t>A partir des capitaux investis</w:t>
            </w:r>
          </w:p>
        </w:tc>
        <w:tc>
          <w:tcPr>
            <w:tcW w:w="1603"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r w:rsidRPr="003654FB">
              <w:rPr>
                <w:rFonts w:ascii="Arial" w:hAnsi="Arial" w:cs="Arial"/>
                <w:sz w:val="18"/>
                <w:szCs w:val="18"/>
              </w:rPr>
              <w:t>VA/ Capitaux propre</w:t>
            </w:r>
          </w:p>
        </w:tc>
      </w:tr>
      <w:tr w:rsidR="003654FB" w:rsidRPr="0022082B" w:rsidTr="0085361E">
        <w:tc>
          <w:tcPr>
            <w:tcW w:w="1827" w:type="pct"/>
            <w:vMerge w:val="restart"/>
            <w:tcBorders>
              <w:top w:val="single" w:sz="6" w:space="0" w:color="auto"/>
              <w:left w:val="single" w:sz="6" w:space="0" w:color="auto"/>
              <w:right w:val="single" w:sz="6" w:space="0" w:color="auto"/>
            </w:tcBorders>
          </w:tcPr>
          <w:p w:rsidR="003654FB" w:rsidRPr="003654FB" w:rsidRDefault="003654FB" w:rsidP="0085361E">
            <w:pPr>
              <w:pStyle w:val="Textepardfaut"/>
              <w:jc w:val="both"/>
              <w:rPr>
                <w:rStyle w:val="Fort"/>
                <w:rFonts w:ascii="Arial" w:hAnsi="Arial" w:cs="Arial"/>
                <w:sz w:val="18"/>
                <w:szCs w:val="18"/>
              </w:rPr>
            </w:pPr>
            <w:r w:rsidRPr="003654FB">
              <w:rPr>
                <w:rFonts w:ascii="Arial" w:hAnsi="Arial" w:cs="Arial"/>
                <w:sz w:val="18"/>
                <w:szCs w:val="18"/>
              </w:rPr>
              <w:t>Part de la valeur ajoutée reverse</w:t>
            </w:r>
          </w:p>
        </w:tc>
        <w:tc>
          <w:tcPr>
            <w:tcW w:w="1570"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sz w:val="18"/>
                <w:szCs w:val="18"/>
              </w:rPr>
            </w:pPr>
            <w:r w:rsidRPr="003654FB">
              <w:rPr>
                <w:rFonts w:ascii="Arial" w:hAnsi="Arial" w:cs="Arial"/>
                <w:sz w:val="18"/>
                <w:szCs w:val="18"/>
              </w:rPr>
              <w:t>Sur le salaire</w:t>
            </w:r>
          </w:p>
        </w:tc>
        <w:tc>
          <w:tcPr>
            <w:tcW w:w="1603"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sz w:val="18"/>
                <w:szCs w:val="18"/>
              </w:rPr>
            </w:pPr>
            <w:r w:rsidRPr="003654FB">
              <w:rPr>
                <w:rFonts w:ascii="Arial" w:hAnsi="Arial" w:cs="Arial"/>
                <w:sz w:val="18"/>
                <w:szCs w:val="18"/>
              </w:rPr>
              <w:t>Salaires et participation/VA</w:t>
            </w:r>
          </w:p>
        </w:tc>
      </w:tr>
      <w:tr w:rsidR="003654FB" w:rsidRPr="0022082B" w:rsidTr="0085361E">
        <w:tc>
          <w:tcPr>
            <w:tcW w:w="1827" w:type="pct"/>
            <w:vMerge/>
            <w:tcBorders>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p>
        </w:tc>
        <w:tc>
          <w:tcPr>
            <w:tcW w:w="1570"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r w:rsidRPr="003654FB">
              <w:rPr>
                <w:rFonts w:ascii="Arial" w:hAnsi="Arial" w:cs="Arial"/>
                <w:sz w:val="18"/>
                <w:szCs w:val="18"/>
              </w:rPr>
              <w:t>Sur les impôts</w:t>
            </w:r>
          </w:p>
        </w:tc>
        <w:tc>
          <w:tcPr>
            <w:tcW w:w="1603"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r w:rsidRPr="003654FB">
              <w:rPr>
                <w:rFonts w:ascii="Arial" w:hAnsi="Arial" w:cs="Arial"/>
                <w:sz w:val="18"/>
                <w:szCs w:val="18"/>
              </w:rPr>
              <w:t>Impôts et taxes+ IS/VA</w:t>
            </w:r>
          </w:p>
        </w:tc>
      </w:tr>
      <w:tr w:rsidR="003654FB" w:rsidRPr="0022082B" w:rsidTr="0085361E">
        <w:tc>
          <w:tcPr>
            <w:tcW w:w="1827" w:type="pct"/>
            <w:vMerge w:val="restart"/>
            <w:tcBorders>
              <w:top w:val="single" w:sz="6" w:space="0" w:color="auto"/>
              <w:left w:val="single" w:sz="6" w:space="0" w:color="auto"/>
              <w:right w:val="single" w:sz="6" w:space="0" w:color="auto"/>
            </w:tcBorders>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Ratios de profitabilité</w:t>
            </w:r>
          </w:p>
        </w:tc>
        <w:tc>
          <w:tcPr>
            <w:tcW w:w="1570"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Ratio de marge bénéficiaire</w:t>
            </w:r>
          </w:p>
        </w:tc>
        <w:tc>
          <w:tcPr>
            <w:tcW w:w="1603"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Bénéfice/chiffre d'affaires</w:t>
            </w:r>
          </w:p>
        </w:tc>
      </w:tr>
      <w:tr w:rsidR="003654FB" w:rsidRPr="0022082B" w:rsidTr="0085361E">
        <w:tc>
          <w:tcPr>
            <w:tcW w:w="1827" w:type="pct"/>
            <w:vMerge/>
            <w:tcBorders>
              <w:left w:val="single" w:sz="6" w:space="0" w:color="auto"/>
              <w:bottom w:val="single" w:sz="6" w:space="0" w:color="auto"/>
              <w:right w:val="single" w:sz="6" w:space="0" w:color="auto"/>
            </w:tcBorders>
          </w:tcPr>
          <w:p w:rsidR="003654FB" w:rsidRPr="003654FB" w:rsidRDefault="003654FB" w:rsidP="0085361E">
            <w:pPr>
              <w:pStyle w:val="Textepardfaut"/>
              <w:jc w:val="both"/>
              <w:rPr>
                <w:rStyle w:val="Fort"/>
                <w:rFonts w:ascii="Arial" w:hAnsi="Arial" w:cs="Arial"/>
                <w:b w:val="0"/>
                <w:sz w:val="18"/>
                <w:szCs w:val="18"/>
              </w:rPr>
            </w:pPr>
          </w:p>
        </w:tc>
        <w:tc>
          <w:tcPr>
            <w:tcW w:w="1570"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Ratio de profitabilité de l'exploitation</w:t>
            </w:r>
          </w:p>
        </w:tc>
        <w:tc>
          <w:tcPr>
            <w:tcW w:w="1603" w:type="pct"/>
            <w:tcBorders>
              <w:top w:val="single" w:sz="6" w:space="0" w:color="auto"/>
              <w:left w:val="single" w:sz="6" w:space="0" w:color="auto"/>
              <w:bottom w:val="single" w:sz="6" w:space="0" w:color="auto"/>
              <w:right w:val="single" w:sz="6" w:space="0" w:color="auto"/>
            </w:tcBorders>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EBE/CA</w:t>
            </w:r>
          </w:p>
        </w:tc>
      </w:tr>
    </w:tbl>
    <w:p w:rsidR="003654FB" w:rsidRPr="00A53E6E" w:rsidRDefault="003654FB" w:rsidP="003654FB">
      <w:pPr>
        <w:pStyle w:val="Paragraphedeliste"/>
        <w:overflowPunct w:val="0"/>
        <w:autoSpaceDE w:val="0"/>
        <w:autoSpaceDN w:val="0"/>
        <w:adjustRightInd w:val="0"/>
        <w:ind w:left="0"/>
        <w:jc w:val="both"/>
        <w:textAlignment w:val="baseline"/>
        <w:rPr>
          <w:rStyle w:val="Fort"/>
          <w:rFonts w:ascii="Arial" w:hAnsi="Arial" w:cs="Arial"/>
          <w:b w:val="0"/>
        </w:rPr>
      </w:pPr>
    </w:p>
    <w:p w:rsidR="003654FB" w:rsidRPr="003654FB" w:rsidRDefault="003654FB" w:rsidP="003654FB">
      <w:pPr>
        <w:overflowPunct w:val="0"/>
        <w:autoSpaceDE w:val="0"/>
        <w:autoSpaceDN w:val="0"/>
        <w:adjustRightInd w:val="0"/>
        <w:spacing w:before="100" w:after="100"/>
        <w:jc w:val="both"/>
        <w:textAlignment w:val="baseline"/>
        <w:rPr>
          <w:rFonts w:ascii="Arial" w:hAnsi="Arial" w:cs="Arial"/>
          <w:b/>
        </w:rPr>
      </w:pPr>
      <w:r w:rsidRPr="003654FB">
        <w:rPr>
          <w:rStyle w:val="Fort"/>
          <w:rFonts w:ascii="Arial" w:hAnsi="Arial" w:cs="Arial"/>
          <w:b w:val="0"/>
          <w:u w:val="single"/>
        </w:rPr>
        <w:t xml:space="preserve">Le bilan </w:t>
      </w:r>
    </w:p>
    <w:p w:rsidR="003654FB" w:rsidRPr="00BC4F4D" w:rsidRDefault="003654FB" w:rsidP="003654FB">
      <w:pPr>
        <w:jc w:val="both"/>
        <w:rPr>
          <w:rFonts w:ascii="Arial" w:hAnsi="Arial" w:cs="Arial"/>
        </w:rPr>
      </w:pPr>
      <w:r>
        <w:rPr>
          <w:rFonts w:ascii="Arial" w:hAnsi="Arial" w:cs="Arial"/>
        </w:rPr>
        <w:t>L</w:t>
      </w:r>
      <w:r w:rsidRPr="00BC4F4D">
        <w:rPr>
          <w:rFonts w:ascii="Arial" w:hAnsi="Arial" w:cs="Arial"/>
        </w:rPr>
        <w:t xml:space="preserve">e bilan </w:t>
      </w:r>
      <w:r>
        <w:rPr>
          <w:rFonts w:ascii="Arial" w:hAnsi="Arial" w:cs="Arial"/>
        </w:rPr>
        <w:t>e</w:t>
      </w:r>
      <w:r w:rsidRPr="00BC4F4D">
        <w:rPr>
          <w:rFonts w:ascii="Arial" w:hAnsi="Arial" w:cs="Arial"/>
        </w:rPr>
        <w:t xml:space="preserve">st une image </w:t>
      </w:r>
      <w:r>
        <w:rPr>
          <w:rFonts w:ascii="Arial" w:hAnsi="Arial" w:cs="Arial"/>
        </w:rPr>
        <w:t xml:space="preserve">du patrimoine de l’entreprise en fin d’année. </w:t>
      </w:r>
      <w:r w:rsidRPr="00BC4F4D">
        <w:rPr>
          <w:rFonts w:ascii="Arial" w:hAnsi="Arial" w:cs="Arial"/>
        </w:rPr>
        <w:t>La colonne de droite</w:t>
      </w:r>
      <w:r>
        <w:rPr>
          <w:rFonts w:ascii="Arial" w:hAnsi="Arial" w:cs="Arial"/>
        </w:rPr>
        <w:t xml:space="preserve">, le </w:t>
      </w:r>
      <w:r w:rsidRPr="00BC3A49">
        <w:rPr>
          <w:rFonts w:ascii="Arial" w:hAnsi="Arial" w:cs="Arial"/>
          <w:u w:val="single"/>
        </w:rPr>
        <w:t>passif</w:t>
      </w:r>
      <w:r>
        <w:rPr>
          <w:rFonts w:ascii="Arial" w:hAnsi="Arial" w:cs="Arial"/>
        </w:rPr>
        <w:t>,</w:t>
      </w:r>
      <w:r w:rsidRPr="00BC4F4D">
        <w:rPr>
          <w:rFonts w:ascii="Arial" w:hAnsi="Arial" w:cs="Arial"/>
        </w:rPr>
        <w:t xml:space="preserve"> </w:t>
      </w:r>
      <w:r>
        <w:rPr>
          <w:rFonts w:ascii="Arial" w:hAnsi="Arial" w:cs="Arial"/>
        </w:rPr>
        <w:t>met en évidence l’origine des flux financiers</w:t>
      </w:r>
      <w:r w:rsidRPr="00BC4F4D">
        <w:rPr>
          <w:rFonts w:ascii="Arial" w:hAnsi="Arial" w:cs="Arial"/>
        </w:rPr>
        <w:t>.</w:t>
      </w:r>
      <w:r>
        <w:rPr>
          <w:rFonts w:ascii="Arial" w:hAnsi="Arial" w:cs="Arial"/>
        </w:rPr>
        <w:t xml:space="preserve"> </w:t>
      </w:r>
      <w:r w:rsidRPr="00BC4F4D">
        <w:rPr>
          <w:rFonts w:ascii="Arial" w:hAnsi="Arial" w:cs="Arial"/>
        </w:rPr>
        <w:t>La colonne de gauche</w:t>
      </w:r>
      <w:r>
        <w:rPr>
          <w:rFonts w:ascii="Arial" w:hAnsi="Arial" w:cs="Arial"/>
        </w:rPr>
        <w:t>,</w:t>
      </w:r>
      <w:r w:rsidRPr="00BC4F4D">
        <w:rPr>
          <w:rFonts w:ascii="Arial" w:hAnsi="Arial" w:cs="Arial"/>
        </w:rPr>
        <w:t xml:space="preserve"> </w:t>
      </w:r>
      <w:r w:rsidRPr="00BC3A49">
        <w:rPr>
          <w:rFonts w:ascii="Arial" w:hAnsi="Arial" w:cs="Arial"/>
          <w:u w:val="single"/>
        </w:rPr>
        <w:t>l’actif</w:t>
      </w:r>
      <w:r>
        <w:rPr>
          <w:rFonts w:ascii="Arial" w:hAnsi="Arial" w:cs="Arial"/>
        </w:rPr>
        <w:t xml:space="preserve">, renseigne sur l’utilisation de l’argent. </w:t>
      </w:r>
    </w:p>
    <w:p w:rsidR="003654FB" w:rsidRPr="00BC4F4D" w:rsidRDefault="003654FB" w:rsidP="003654FB">
      <w:pPr>
        <w:jc w:val="both"/>
        <w:rPr>
          <w:rFonts w:ascii="Arial" w:hAnsi="Arial" w:cs="Arial"/>
        </w:rPr>
      </w:pPr>
    </w:p>
    <w:p w:rsidR="003654FB" w:rsidRPr="00BC4F4D" w:rsidRDefault="003654FB" w:rsidP="003654FB">
      <w:pPr>
        <w:jc w:val="both"/>
        <w:rPr>
          <w:rFonts w:ascii="Arial" w:hAnsi="Arial" w:cs="Arial"/>
        </w:rPr>
      </w:pPr>
      <w:r w:rsidRPr="00BC4F4D">
        <w:rPr>
          <w:rFonts w:ascii="Arial" w:hAnsi="Arial" w:cs="Arial"/>
        </w:rPr>
        <w:t>Les éléments que l’on trouve dans un bilan sont donc les suivants :</w:t>
      </w:r>
    </w:p>
    <w:p w:rsidR="003654FB" w:rsidRPr="00BC3A49" w:rsidRDefault="003654FB" w:rsidP="003654FB">
      <w:pPr>
        <w:jc w:val="both"/>
        <w:rPr>
          <w:rStyle w:val="Fort"/>
          <w:rFonts w:ascii="Arial" w:hAnsi="Arial" w:cs="Arial"/>
          <w:b w:val="0"/>
        </w:rPr>
      </w:pPr>
    </w:p>
    <w:tbl>
      <w:tblPr>
        <w:tblW w:w="51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9"/>
        <w:gridCol w:w="98"/>
        <w:gridCol w:w="2782"/>
        <w:gridCol w:w="2151"/>
        <w:gridCol w:w="2473"/>
      </w:tblGrid>
      <w:tr w:rsidR="003654FB" w:rsidRPr="003654FB" w:rsidTr="0085361E">
        <w:tc>
          <w:tcPr>
            <w:tcW w:w="1089" w:type="pct"/>
          </w:tcPr>
          <w:p w:rsidR="003654FB" w:rsidRPr="003654FB" w:rsidRDefault="003654FB" w:rsidP="0085361E">
            <w:pPr>
              <w:jc w:val="both"/>
              <w:rPr>
                <w:rStyle w:val="Fort"/>
                <w:rFonts w:ascii="Arial" w:hAnsi="Arial" w:cs="Arial"/>
                <w:b w:val="0"/>
                <w:sz w:val="20"/>
                <w:szCs w:val="20"/>
              </w:rPr>
            </w:pPr>
            <w:r w:rsidRPr="003654FB">
              <w:rPr>
                <w:rStyle w:val="Fort"/>
                <w:rFonts w:ascii="Arial" w:hAnsi="Arial" w:cs="Arial"/>
                <w:b w:val="0"/>
                <w:sz w:val="20"/>
                <w:szCs w:val="20"/>
              </w:rPr>
              <w:t>Eléments de l’Actif</w:t>
            </w:r>
          </w:p>
        </w:tc>
        <w:tc>
          <w:tcPr>
            <w:tcW w:w="1501" w:type="pct"/>
            <w:gridSpan w:val="2"/>
          </w:tcPr>
          <w:p w:rsidR="003654FB" w:rsidRPr="003654FB" w:rsidRDefault="003654FB" w:rsidP="0085361E">
            <w:pPr>
              <w:jc w:val="both"/>
              <w:rPr>
                <w:rStyle w:val="Fort"/>
                <w:rFonts w:ascii="Arial" w:hAnsi="Arial" w:cs="Arial"/>
                <w:b w:val="0"/>
                <w:sz w:val="20"/>
                <w:szCs w:val="20"/>
              </w:rPr>
            </w:pPr>
            <w:r w:rsidRPr="003654FB">
              <w:rPr>
                <w:rStyle w:val="Fort"/>
                <w:rFonts w:ascii="Arial" w:hAnsi="Arial" w:cs="Arial"/>
                <w:b w:val="0"/>
                <w:sz w:val="20"/>
                <w:szCs w:val="20"/>
              </w:rPr>
              <w:t>Explications</w:t>
            </w:r>
          </w:p>
        </w:tc>
        <w:tc>
          <w:tcPr>
            <w:tcW w:w="1121" w:type="pct"/>
          </w:tcPr>
          <w:p w:rsidR="003654FB" w:rsidRPr="003654FB" w:rsidRDefault="003654FB" w:rsidP="0085361E">
            <w:pPr>
              <w:jc w:val="both"/>
              <w:rPr>
                <w:rStyle w:val="Fort"/>
                <w:rFonts w:ascii="Arial" w:hAnsi="Arial" w:cs="Arial"/>
                <w:b w:val="0"/>
                <w:sz w:val="20"/>
                <w:szCs w:val="20"/>
              </w:rPr>
            </w:pPr>
            <w:r w:rsidRPr="003654FB">
              <w:rPr>
                <w:rStyle w:val="Fort"/>
                <w:rFonts w:ascii="Arial" w:hAnsi="Arial" w:cs="Arial"/>
                <w:b w:val="0"/>
                <w:sz w:val="20"/>
                <w:szCs w:val="20"/>
              </w:rPr>
              <w:t>Eléments du Passif</w:t>
            </w:r>
          </w:p>
        </w:tc>
        <w:tc>
          <w:tcPr>
            <w:tcW w:w="1289" w:type="pct"/>
          </w:tcPr>
          <w:p w:rsidR="003654FB" w:rsidRPr="003654FB" w:rsidRDefault="003654FB" w:rsidP="0085361E">
            <w:pPr>
              <w:jc w:val="both"/>
              <w:rPr>
                <w:rStyle w:val="Fort"/>
                <w:rFonts w:ascii="Arial" w:hAnsi="Arial" w:cs="Arial"/>
                <w:b w:val="0"/>
                <w:sz w:val="20"/>
                <w:szCs w:val="20"/>
              </w:rPr>
            </w:pPr>
            <w:r w:rsidRPr="003654FB">
              <w:rPr>
                <w:rStyle w:val="Fort"/>
                <w:rFonts w:ascii="Arial" w:hAnsi="Arial" w:cs="Arial"/>
                <w:b w:val="0"/>
                <w:sz w:val="20"/>
                <w:szCs w:val="20"/>
              </w:rPr>
              <w:t>Explications</w:t>
            </w:r>
          </w:p>
        </w:tc>
      </w:tr>
      <w:tr w:rsidR="003654FB" w:rsidRPr="003654FB" w:rsidTr="0085361E">
        <w:tc>
          <w:tcPr>
            <w:tcW w:w="2590" w:type="pct"/>
            <w:gridSpan w:val="3"/>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Actif immobilisé (biens mis à disposition pour une durée supérieure à l’exercice comptable)</w:t>
            </w:r>
          </w:p>
        </w:tc>
        <w:tc>
          <w:tcPr>
            <w:tcW w:w="241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Capitaux propres</w:t>
            </w:r>
          </w:p>
        </w:tc>
      </w:tr>
      <w:tr w:rsidR="003654FB" w:rsidRPr="003654FB" w:rsidTr="0085361E">
        <w:tc>
          <w:tcPr>
            <w:tcW w:w="1089"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Immobilisations incorporelles</w:t>
            </w:r>
          </w:p>
        </w:tc>
        <w:tc>
          <w:tcPr>
            <w:tcW w:w="1501"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Immobilisations qui ne sont pas matérielles tels que concessions, brevets, fonds de commerce.</w:t>
            </w:r>
          </w:p>
        </w:tc>
        <w:tc>
          <w:tcPr>
            <w:tcW w:w="1121"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Capital</w:t>
            </w:r>
          </w:p>
        </w:tc>
        <w:tc>
          <w:tcPr>
            <w:tcW w:w="1289"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 xml:space="preserve"> Ce sont les apports de l’entrepreneur ou des associés.</w:t>
            </w:r>
          </w:p>
        </w:tc>
      </w:tr>
      <w:tr w:rsidR="003654FB" w:rsidRPr="003654FB" w:rsidTr="0085361E">
        <w:tc>
          <w:tcPr>
            <w:tcW w:w="1089"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Immobilisation Corporelles</w:t>
            </w:r>
          </w:p>
        </w:tc>
        <w:tc>
          <w:tcPr>
            <w:tcW w:w="1501"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Terrains, construction, matériel, outillage…</w:t>
            </w:r>
          </w:p>
        </w:tc>
        <w:tc>
          <w:tcPr>
            <w:tcW w:w="1121"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réserves</w:t>
            </w:r>
          </w:p>
        </w:tc>
        <w:tc>
          <w:tcPr>
            <w:tcW w:w="1289"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C’est une partie des bénéfices qui est mise de côté.</w:t>
            </w:r>
          </w:p>
        </w:tc>
      </w:tr>
      <w:tr w:rsidR="003654FB" w:rsidRPr="003654FB" w:rsidTr="0085361E">
        <w:tc>
          <w:tcPr>
            <w:tcW w:w="1089"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Immobilisations financières</w:t>
            </w:r>
          </w:p>
        </w:tc>
        <w:tc>
          <w:tcPr>
            <w:tcW w:w="1501"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prêts et participations de 10-50% dans d’autres entreprises.</w:t>
            </w:r>
          </w:p>
        </w:tc>
        <w:tc>
          <w:tcPr>
            <w:tcW w:w="1121"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 report à nouveau</w:t>
            </w:r>
          </w:p>
        </w:tc>
        <w:tc>
          <w:tcPr>
            <w:tcW w:w="1289"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 xml:space="preserve">Ce sont les résultats non distribués et non mis en </w:t>
            </w:r>
            <w:r w:rsidRPr="003654FB">
              <w:rPr>
                <w:rStyle w:val="Fort"/>
                <w:rFonts w:ascii="Arial" w:hAnsi="Arial" w:cs="Arial"/>
                <w:b w:val="0"/>
                <w:sz w:val="18"/>
                <w:szCs w:val="18"/>
              </w:rPr>
              <w:lastRenderedPageBreak/>
              <w:t>réserve des années précédentes.</w:t>
            </w:r>
          </w:p>
        </w:tc>
      </w:tr>
      <w:tr w:rsidR="003654FB" w:rsidRPr="003654FB" w:rsidTr="0085361E">
        <w:tc>
          <w:tcPr>
            <w:tcW w:w="2590" w:type="pct"/>
            <w:gridSpan w:val="3"/>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lastRenderedPageBreak/>
              <w:t>Actif circulant</w:t>
            </w:r>
          </w:p>
        </w:tc>
        <w:tc>
          <w:tcPr>
            <w:tcW w:w="1121"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 résultat</w:t>
            </w:r>
          </w:p>
        </w:tc>
        <w:tc>
          <w:tcPr>
            <w:tcW w:w="1289"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C’est le bénéfice net, le résultat net du compte de résultat</w:t>
            </w:r>
          </w:p>
        </w:tc>
      </w:tr>
      <w:tr w:rsidR="003654FB" w:rsidRPr="003654FB" w:rsidTr="0085361E">
        <w:tc>
          <w:tcPr>
            <w:tcW w:w="114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Stocks</w:t>
            </w:r>
          </w:p>
        </w:tc>
        <w:tc>
          <w:tcPr>
            <w:tcW w:w="1450"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 stock en fin d’année.</w:t>
            </w:r>
          </w:p>
        </w:tc>
        <w:tc>
          <w:tcPr>
            <w:tcW w:w="241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provisions pour risques et charges</w:t>
            </w:r>
          </w:p>
        </w:tc>
      </w:tr>
      <w:tr w:rsidR="003654FB" w:rsidRPr="003654FB" w:rsidTr="0085361E">
        <w:tc>
          <w:tcPr>
            <w:tcW w:w="114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Créances</w:t>
            </w:r>
          </w:p>
        </w:tc>
        <w:tc>
          <w:tcPr>
            <w:tcW w:w="1450"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dettes des tiers vis-à-vis de l’entreprise.</w:t>
            </w:r>
          </w:p>
        </w:tc>
        <w:tc>
          <w:tcPr>
            <w:tcW w:w="241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C’est une somme mise de côté pour anticiper une perte connue pour l’entreprise  due à des créances douteuses ou des dépréciations d’actifs.</w:t>
            </w:r>
          </w:p>
        </w:tc>
      </w:tr>
      <w:tr w:rsidR="003654FB" w:rsidRPr="003654FB" w:rsidTr="0085361E">
        <w:tc>
          <w:tcPr>
            <w:tcW w:w="114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valeurs mobilières de placement</w:t>
            </w:r>
          </w:p>
        </w:tc>
        <w:tc>
          <w:tcPr>
            <w:tcW w:w="1450"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titres de placement de moins de 10% d’une entreprise</w:t>
            </w:r>
          </w:p>
        </w:tc>
        <w:tc>
          <w:tcPr>
            <w:tcW w:w="241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emprunts</w:t>
            </w:r>
          </w:p>
        </w:tc>
      </w:tr>
      <w:tr w:rsidR="003654FB" w:rsidRPr="003654FB" w:rsidTr="0085361E">
        <w:tc>
          <w:tcPr>
            <w:tcW w:w="114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 xml:space="preserve">Les disponibilités </w:t>
            </w:r>
          </w:p>
        </w:tc>
        <w:tc>
          <w:tcPr>
            <w:tcW w:w="1450" w:type="pc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Ce qu’elle a en caisse, en compte courant comme trésorerie.</w:t>
            </w:r>
          </w:p>
        </w:tc>
        <w:tc>
          <w:tcPr>
            <w:tcW w:w="241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Ce sont les emprunts et concours bancaires (découverts)</w:t>
            </w:r>
          </w:p>
        </w:tc>
      </w:tr>
      <w:tr w:rsidR="003654FB" w:rsidRPr="003654FB" w:rsidTr="0085361E">
        <w:tc>
          <w:tcPr>
            <w:tcW w:w="2590" w:type="pct"/>
            <w:gridSpan w:val="3"/>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comptes de régularisation d’actifs</w:t>
            </w:r>
          </w:p>
        </w:tc>
        <w:tc>
          <w:tcPr>
            <w:tcW w:w="241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dettes</w:t>
            </w:r>
          </w:p>
        </w:tc>
      </w:tr>
      <w:tr w:rsidR="003654FB" w:rsidRPr="003654FB" w:rsidTr="0085361E">
        <w:tc>
          <w:tcPr>
            <w:tcW w:w="2590" w:type="pct"/>
            <w:gridSpan w:val="3"/>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Ce sont les charges constatées d’avance</w:t>
            </w:r>
          </w:p>
        </w:tc>
        <w:tc>
          <w:tcPr>
            <w:tcW w:w="241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Toutes les dettes de l’entreprise (clients, fournisseurs, Etat, Prestataires)</w:t>
            </w:r>
          </w:p>
        </w:tc>
      </w:tr>
      <w:tr w:rsidR="003654FB" w:rsidRPr="003654FB" w:rsidTr="0085361E">
        <w:tc>
          <w:tcPr>
            <w:tcW w:w="2590" w:type="pct"/>
            <w:gridSpan w:val="3"/>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Amortissements et provisions</w:t>
            </w:r>
          </w:p>
        </w:tc>
        <w:tc>
          <w:tcPr>
            <w:tcW w:w="2410" w:type="pct"/>
            <w:gridSpan w:val="2"/>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Les Comptes de régularisation de passif</w:t>
            </w:r>
          </w:p>
        </w:tc>
      </w:tr>
      <w:tr w:rsidR="003654FB" w:rsidRPr="003654FB" w:rsidTr="0085361E">
        <w:trPr>
          <w:trHeight w:val="230"/>
        </w:trPr>
        <w:tc>
          <w:tcPr>
            <w:tcW w:w="1140" w:type="pct"/>
            <w:gridSpan w:val="2"/>
            <w:vMerge w:val="restar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Amortissement</w:t>
            </w:r>
          </w:p>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Provisions</w:t>
            </w:r>
          </w:p>
        </w:tc>
        <w:tc>
          <w:tcPr>
            <w:tcW w:w="1450" w:type="pct"/>
            <w:vMerge w:val="restar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Ce que l’entreprise peut déduire pour constater l’usure de son matériel.</w:t>
            </w:r>
          </w:p>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Sommes mises de côté en cas de risques.</w:t>
            </w:r>
          </w:p>
        </w:tc>
        <w:tc>
          <w:tcPr>
            <w:tcW w:w="2410" w:type="pct"/>
            <w:gridSpan w:val="2"/>
            <w:vMerge w:val="restart"/>
          </w:tcPr>
          <w:p w:rsidR="003654FB" w:rsidRPr="003654FB" w:rsidRDefault="003654FB" w:rsidP="0085361E">
            <w:pPr>
              <w:jc w:val="both"/>
              <w:rPr>
                <w:rStyle w:val="Fort"/>
                <w:rFonts w:ascii="Arial" w:hAnsi="Arial" w:cs="Arial"/>
                <w:b w:val="0"/>
                <w:sz w:val="18"/>
                <w:szCs w:val="18"/>
              </w:rPr>
            </w:pPr>
            <w:r w:rsidRPr="003654FB">
              <w:rPr>
                <w:rStyle w:val="Fort"/>
                <w:rFonts w:ascii="Arial" w:hAnsi="Arial" w:cs="Arial"/>
                <w:b w:val="0"/>
                <w:sz w:val="18"/>
                <w:szCs w:val="18"/>
              </w:rPr>
              <w:t>Lorsqu’on encaisse sur une année civile et pas sur l’année comptable des produits d’avance.</w:t>
            </w:r>
          </w:p>
        </w:tc>
      </w:tr>
      <w:tr w:rsidR="003654FB" w:rsidRPr="003654FB" w:rsidTr="0085361E">
        <w:trPr>
          <w:trHeight w:val="220"/>
        </w:trPr>
        <w:tc>
          <w:tcPr>
            <w:tcW w:w="1140" w:type="pct"/>
            <w:gridSpan w:val="2"/>
            <w:vMerge/>
          </w:tcPr>
          <w:p w:rsidR="003654FB" w:rsidRPr="003654FB" w:rsidRDefault="003654FB" w:rsidP="0085361E">
            <w:pPr>
              <w:jc w:val="both"/>
              <w:rPr>
                <w:rStyle w:val="Fort"/>
                <w:b w:val="0"/>
                <w:sz w:val="18"/>
                <w:szCs w:val="18"/>
              </w:rPr>
            </w:pPr>
          </w:p>
        </w:tc>
        <w:tc>
          <w:tcPr>
            <w:tcW w:w="1450" w:type="pct"/>
            <w:vMerge/>
          </w:tcPr>
          <w:p w:rsidR="003654FB" w:rsidRPr="003654FB" w:rsidRDefault="003654FB" w:rsidP="0085361E">
            <w:pPr>
              <w:jc w:val="both"/>
              <w:rPr>
                <w:rStyle w:val="Fort"/>
                <w:b w:val="0"/>
                <w:sz w:val="18"/>
                <w:szCs w:val="18"/>
              </w:rPr>
            </w:pPr>
          </w:p>
        </w:tc>
        <w:tc>
          <w:tcPr>
            <w:tcW w:w="2410" w:type="pct"/>
            <w:gridSpan w:val="2"/>
            <w:vMerge/>
          </w:tcPr>
          <w:p w:rsidR="003654FB" w:rsidRPr="003654FB" w:rsidRDefault="003654FB" w:rsidP="0085361E">
            <w:pPr>
              <w:jc w:val="both"/>
              <w:rPr>
                <w:rStyle w:val="Fort"/>
                <w:b w:val="0"/>
                <w:sz w:val="18"/>
                <w:szCs w:val="18"/>
              </w:rPr>
            </w:pPr>
          </w:p>
        </w:tc>
      </w:tr>
    </w:tbl>
    <w:p w:rsidR="003654FB" w:rsidRPr="006B7694" w:rsidRDefault="003654FB" w:rsidP="003654FB">
      <w:pPr>
        <w:jc w:val="both"/>
        <w:rPr>
          <w:rStyle w:val="Fort"/>
          <w:rFonts w:ascii="Arial" w:hAnsi="Arial" w:cs="Arial"/>
          <w:b w:val="0"/>
        </w:rPr>
      </w:pPr>
    </w:p>
    <w:p w:rsidR="003654FB" w:rsidRDefault="003654FB" w:rsidP="003654FB">
      <w:pPr>
        <w:jc w:val="both"/>
        <w:rPr>
          <w:rFonts w:ascii="Arial" w:hAnsi="Arial" w:cs="Arial"/>
        </w:rPr>
      </w:pPr>
      <w:r>
        <w:rPr>
          <w:rFonts w:ascii="Arial" w:hAnsi="Arial" w:cs="Arial"/>
        </w:rPr>
        <w:t>Les ratios issus du bilan sont les suivants</w:t>
      </w:r>
    </w:p>
    <w:p w:rsidR="003654FB" w:rsidRPr="00DB2115" w:rsidRDefault="003654FB" w:rsidP="003654FB">
      <w:pPr>
        <w:jc w:val="both"/>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3420"/>
        <w:gridCol w:w="3600"/>
      </w:tblGrid>
      <w:tr w:rsidR="003654FB" w:rsidRPr="008F2669" w:rsidTr="0085361E">
        <w:tc>
          <w:tcPr>
            <w:tcW w:w="2448" w:type="dxa"/>
          </w:tcPr>
          <w:p w:rsidR="003654FB" w:rsidRPr="002B489B" w:rsidRDefault="003654FB" w:rsidP="0085361E">
            <w:pPr>
              <w:rPr>
                <w:rFonts w:ascii="Arial" w:hAnsi="Arial" w:cs="Arial"/>
                <w:sz w:val="18"/>
                <w:szCs w:val="18"/>
              </w:rPr>
            </w:pPr>
            <w:r w:rsidRPr="002B489B">
              <w:rPr>
                <w:rFonts w:ascii="Arial" w:hAnsi="Arial" w:cs="Arial"/>
                <w:sz w:val="18"/>
                <w:szCs w:val="18"/>
              </w:rPr>
              <w:t>Ratios</w:t>
            </w:r>
          </w:p>
        </w:tc>
        <w:tc>
          <w:tcPr>
            <w:tcW w:w="3420" w:type="dxa"/>
          </w:tcPr>
          <w:p w:rsidR="003654FB" w:rsidRPr="002B489B" w:rsidRDefault="003654FB" w:rsidP="0085361E">
            <w:pPr>
              <w:rPr>
                <w:rFonts w:ascii="Arial" w:hAnsi="Arial" w:cs="Arial"/>
                <w:sz w:val="18"/>
                <w:szCs w:val="18"/>
              </w:rPr>
            </w:pPr>
            <w:r w:rsidRPr="002B489B">
              <w:rPr>
                <w:rFonts w:ascii="Arial" w:hAnsi="Arial" w:cs="Arial"/>
                <w:sz w:val="18"/>
                <w:szCs w:val="18"/>
              </w:rPr>
              <w:t>Formules</w:t>
            </w:r>
          </w:p>
        </w:tc>
        <w:tc>
          <w:tcPr>
            <w:tcW w:w="3600" w:type="dxa"/>
          </w:tcPr>
          <w:p w:rsidR="003654FB" w:rsidRPr="002B489B" w:rsidRDefault="003654FB" w:rsidP="0085361E">
            <w:pPr>
              <w:rPr>
                <w:rFonts w:ascii="Arial" w:hAnsi="Arial" w:cs="Arial"/>
                <w:sz w:val="18"/>
                <w:szCs w:val="18"/>
              </w:rPr>
            </w:pPr>
            <w:r w:rsidRPr="002B489B">
              <w:rPr>
                <w:rFonts w:ascii="Arial" w:hAnsi="Arial" w:cs="Arial"/>
                <w:sz w:val="18"/>
                <w:szCs w:val="18"/>
              </w:rPr>
              <w:t>Commentaires</w:t>
            </w:r>
          </w:p>
        </w:tc>
      </w:tr>
      <w:tr w:rsidR="003654FB" w:rsidRPr="008F2669" w:rsidTr="0085361E">
        <w:tc>
          <w:tcPr>
            <w:tcW w:w="2448" w:type="dxa"/>
          </w:tcPr>
          <w:p w:rsidR="003654FB" w:rsidRPr="002B489B" w:rsidRDefault="003654FB" w:rsidP="0085361E">
            <w:pPr>
              <w:rPr>
                <w:rFonts w:ascii="Arial" w:hAnsi="Arial" w:cs="Arial"/>
                <w:sz w:val="18"/>
                <w:szCs w:val="18"/>
              </w:rPr>
            </w:pPr>
            <w:r w:rsidRPr="002B489B">
              <w:rPr>
                <w:rFonts w:ascii="Arial" w:hAnsi="Arial" w:cs="Arial"/>
                <w:sz w:val="18"/>
                <w:szCs w:val="18"/>
              </w:rPr>
              <w:t>Endettement</w:t>
            </w:r>
          </w:p>
        </w:tc>
        <w:tc>
          <w:tcPr>
            <w:tcW w:w="3420" w:type="dxa"/>
          </w:tcPr>
          <w:p w:rsidR="003654FB" w:rsidRPr="002B489B" w:rsidRDefault="003654FB" w:rsidP="0085361E">
            <w:pPr>
              <w:rPr>
                <w:rFonts w:ascii="Arial" w:hAnsi="Arial" w:cs="Arial"/>
                <w:sz w:val="18"/>
                <w:szCs w:val="18"/>
              </w:rPr>
            </w:pPr>
            <w:r w:rsidRPr="002B489B">
              <w:rPr>
                <w:rFonts w:ascii="Arial" w:hAnsi="Arial" w:cs="Arial"/>
                <w:sz w:val="18"/>
                <w:szCs w:val="18"/>
              </w:rPr>
              <w:t>Dettes à plus d ‘un an/capitaux propres</w:t>
            </w:r>
          </w:p>
        </w:tc>
        <w:tc>
          <w:tcPr>
            <w:tcW w:w="3600" w:type="dxa"/>
          </w:tcPr>
          <w:p w:rsidR="003654FB" w:rsidRPr="002B489B" w:rsidRDefault="003654FB" w:rsidP="0085361E">
            <w:pPr>
              <w:rPr>
                <w:rFonts w:ascii="Arial" w:hAnsi="Arial" w:cs="Arial"/>
                <w:sz w:val="18"/>
                <w:szCs w:val="18"/>
              </w:rPr>
            </w:pPr>
            <w:r w:rsidRPr="002B489B">
              <w:rPr>
                <w:rFonts w:ascii="Arial" w:hAnsi="Arial" w:cs="Arial"/>
                <w:sz w:val="18"/>
                <w:szCs w:val="18"/>
              </w:rPr>
              <w:t>Il faut que le résultat soit inférieur à 1</w:t>
            </w:r>
          </w:p>
        </w:tc>
      </w:tr>
      <w:tr w:rsidR="003654FB" w:rsidRPr="008F2669" w:rsidTr="0085361E">
        <w:tc>
          <w:tcPr>
            <w:tcW w:w="2448" w:type="dxa"/>
          </w:tcPr>
          <w:p w:rsidR="003654FB" w:rsidRPr="002B489B" w:rsidRDefault="003654FB" w:rsidP="0085361E">
            <w:pPr>
              <w:rPr>
                <w:rFonts w:ascii="Arial" w:hAnsi="Arial" w:cs="Arial"/>
                <w:sz w:val="18"/>
                <w:szCs w:val="18"/>
              </w:rPr>
            </w:pPr>
            <w:r w:rsidRPr="002B489B">
              <w:rPr>
                <w:rFonts w:ascii="Arial" w:hAnsi="Arial" w:cs="Arial"/>
                <w:sz w:val="18"/>
                <w:szCs w:val="18"/>
              </w:rPr>
              <w:t>Financement propre</w:t>
            </w:r>
          </w:p>
        </w:tc>
        <w:tc>
          <w:tcPr>
            <w:tcW w:w="3420" w:type="dxa"/>
          </w:tcPr>
          <w:p w:rsidR="003654FB" w:rsidRPr="002B489B" w:rsidRDefault="003654FB" w:rsidP="0085361E">
            <w:pPr>
              <w:rPr>
                <w:rFonts w:ascii="Arial" w:hAnsi="Arial" w:cs="Arial"/>
                <w:sz w:val="18"/>
                <w:szCs w:val="18"/>
              </w:rPr>
            </w:pPr>
            <w:r w:rsidRPr="002B489B">
              <w:rPr>
                <w:rFonts w:ascii="Arial" w:hAnsi="Arial" w:cs="Arial"/>
                <w:sz w:val="18"/>
                <w:szCs w:val="18"/>
              </w:rPr>
              <w:t>Capitaux propres /ressources stables</w:t>
            </w:r>
          </w:p>
        </w:tc>
        <w:tc>
          <w:tcPr>
            <w:tcW w:w="3600" w:type="dxa"/>
          </w:tcPr>
          <w:p w:rsidR="003654FB" w:rsidRPr="002B489B" w:rsidRDefault="003654FB" w:rsidP="0085361E">
            <w:pPr>
              <w:rPr>
                <w:rFonts w:ascii="Arial" w:hAnsi="Arial" w:cs="Arial"/>
                <w:sz w:val="18"/>
                <w:szCs w:val="18"/>
              </w:rPr>
            </w:pPr>
            <w:r w:rsidRPr="002B489B">
              <w:rPr>
                <w:rFonts w:ascii="Arial" w:hAnsi="Arial" w:cs="Arial"/>
                <w:sz w:val="18"/>
                <w:szCs w:val="18"/>
              </w:rPr>
              <w:t>Plus l’entreprise est proche de 1, plus elle est indépendante</w:t>
            </w:r>
          </w:p>
        </w:tc>
      </w:tr>
      <w:tr w:rsidR="003654FB" w:rsidRPr="008F2669" w:rsidTr="0085361E">
        <w:tc>
          <w:tcPr>
            <w:tcW w:w="2448" w:type="dxa"/>
          </w:tcPr>
          <w:p w:rsidR="003654FB" w:rsidRPr="002B489B" w:rsidRDefault="003654FB" w:rsidP="0085361E">
            <w:pPr>
              <w:rPr>
                <w:rFonts w:ascii="Arial" w:hAnsi="Arial" w:cs="Arial"/>
                <w:sz w:val="18"/>
                <w:szCs w:val="18"/>
              </w:rPr>
            </w:pPr>
            <w:r w:rsidRPr="002B489B">
              <w:rPr>
                <w:rFonts w:ascii="Arial" w:hAnsi="Arial" w:cs="Arial"/>
                <w:sz w:val="18"/>
                <w:szCs w:val="18"/>
              </w:rPr>
              <w:t xml:space="preserve">Ratio d’autonomie financière </w:t>
            </w:r>
          </w:p>
        </w:tc>
        <w:tc>
          <w:tcPr>
            <w:tcW w:w="3420" w:type="dxa"/>
          </w:tcPr>
          <w:p w:rsidR="003654FB" w:rsidRPr="002B489B" w:rsidRDefault="003654FB" w:rsidP="0085361E">
            <w:pPr>
              <w:rPr>
                <w:rFonts w:ascii="Arial" w:hAnsi="Arial" w:cs="Arial"/>
                <w:sz w:val="18"/>
                <w:szCs w:val="18"/>
              </w:rPr>
            </w:pPr>
            <w:r w:rsidRPr="002B489B">
              <w:rPr>
                <w:rFonts w:ascii="Arial" w:hAnsi="Arial" w:cs="Arial"/>
                <w:sz w:val="18"/>
                <w:szCs w:val="18"/>
              </w:rPr>
              <w:t xml:space="preserve">Capitaux propres/ capitaux étrangers </w:t>
            </w:r>
          </w:p>
        </w:tc>
        <w:tc>
          <w:tcPr>
            <w:tcW w:w="3600" w:type="dxa"/>
          </w:tcPr>
          <w:p w:rsidR="003654FB" w:rsidRPr="002B489B" w:rsidRDefault="003654FB" w:rsidP="0085361E">
            <w:pPr>
              <w:rPr>
                <w:rFonts w:ascii="Arial" w:hAnsi="Arial" w:cs="Arial"/>
                <w:sz w:val="18"/>
                <w:szCs w:val="18"/>
              </w:rPr>
            </w:pPr>
            <w:r w:rsidRPr="002B489B">
              <w:rPr>
                <w:rFonts w:ascii="Arial" w:hAnsi="Arial" w:cs="Arial"/>
                <w:sz w:val="18"/>
                <w:szCs w:val="18"/>
              </w:rPr>
              <w:t xml:space="preserve">Permet de mesurer l’autonomie financière de l’entreprise </w:t>
            </w:r>
          </w:p>
        </w:tc>
      </w:tr>
      <w:tr w:rsidR="003654FB" w:rsidRPr="008F2669" w:rsidTr="0085361E">
        <w:tc>
          <w:tcPr>
            <w:tcW w:w="2448" w:type="dxa"/>
          </w:tcPr>
          <w:p w:rsidR="003654FB" w:rsidRPr="002B489B" w:rsidRDefault="003654FB" w:rsidP="0085361E">
            <w:pPr>
              <w:rPr>
                <w:rFonts w:ascii="Arial" w:hAnsi="Arial" w:cs="Arial"/>
                <w:sz w:val="18"/>
                <w:szCs w:val="18"/>
              </w:rPr>
            </w:pPr>
            <w:r w:rsidRPr="002B489B">
              <w:rPr>
                <w:rFonts w:ascii="Arial" w:hAnsi="Arial" w:cs="Arial"/>
                <w:sz w:val="18"/>
                <w:szCs w:val="18"/>
              </w:rPr>
              <w:t>Financement des immobilisations</w:t>
            </w:r>
          </w:p>
        </w:tc>
        <w:tc>
          <w:tcPr>
            <w:tcW w:w="3420" w:type="dxa"/>
          </w:tcPr>
          <w:p w:rsidR="003654FB" w:rsidRPr="002B489B" w:rsidRDefault="003654FB" w:rsidP="0085361E">
            <w:pPr>
              <w:rPr>
                <w:rFonts w:ascii="Arial" w:hAnsi="Arial" w:cs="Arial"/>
                <w:sz w:val="18"/>
                <w:szCs w:val="18"/>
              </w:rPr>
            </w:pPr>
            <w:r w:rsidRPr="002B489B">
              <w:rPr>
                <w:rFonts w:ascii="Arial" w:hAnsi="Arial" w:cs="Arial"/>
                <w:sz w:val="18"/>
                <w:szCs w:val="18"/>
              </w:rPr>
              <w:t>Ressources stables/emploi stables</w:t>
            </w:r>
          </w:p>
        </w:tc>
        <w:tc>
          <w:tcPr>
            <w:tcW w:w="3600" w:type="dxa"/>
          </w:tcPr>
          <w:p w:rsidR="003654FB" w:rsidRPr="002B489B" w:rsidRDefault="003654FB" w:rsidP="0085361E">
            <w:pPr>
              <w:rPr>
                <w:rFonts w:ascii="Arial" w:hAnsi="Arial" w:cs="Arial"/>
                <w:sz w:val="18"/>
                <w:szCs w:val="18"/>
              </w:rPr>
            </w:pPr>
            <w:r w:rsidRPr="002B489B">
              <w:rPr>
                <w:rFonts w:ascii="Arial" w:hAnsi="Arial" w:cs="Arial"/>
                <w:sz w:val="18"/>
                <w:szCs w:val="18"/>
              </w:rPr>
              <w:t>Montre si le financement est adapté (&gt;1)</w:t>
            </w:r>
          </w:p>
        </w:tc>
      </w:tr>
      <w:tr w:rsidR="003654FB" w:rsidRPr="008F2669" w:rsidTr="0085361E">
        <w:tc>
          <w:tcPr>
            <w:tcW w:w="2448" w:type="dxa"/>
          </w:tcPr>
          <w:p w:rsidR="003654FB" w:rsidRPr="002B489B" w:rsidRDefault="003654FB" w:rsidP="0085361E">
            <w:pPr>
              <w:rPr>
                <w:rFonts w:ascii="Arial" w:hAnsi="Arial" w:cs="Arial"/>
                <w:sz w:val="18"/>
                <w:szCs w:val="18"/>
              </w:rPr>
            </w:pPr>
            <w:r w:rsidRPr="002B489B">
              <w:rPr>
                <w:rFonts w:ascii="Arial" w:hAnsi="Arial" w:cs="Arial"/>
                <w:sz w:val="18"/>
                <w:szCs w:val="18"/>
              </w:rPr>
              <w:t xml:space="preserve">Trésorerie immédiate </w:t>
            </w:r>
          </w:p>
        </w:tc>
        <w:tc>
          <w:tcPr>
            <w:tcW w:w="3420" w:type="dxa"/>
          </w:tcPr>
          <w:p w:rsidR="003654FB" w:rsidRPr="002B489B" w:rsidRDefault="003654FB" w:rsidP="0085361E">
            <w:pPr>
              <w:rPr>
                <w:rFonts w:ascii="Arial" w:hAnsi="Arial" w:cs="Arial"/>
                <w:sz w:val="18"/>
                <w:szCs w:val="18"/>
              </w:rPr>
            </w:pPr>
            <w:r w:rsidRPr="002B489B">
              <w:rPr>
                <w:rFonts w:ascii="Arial" w:hAnsi="Arial" w:cs="Arial"/>
                <w:sz w:val="18"/>
                <w:szCs w:val="18"/>
              </w:rPr>
              <w:t>Disponibilités/passif circulant</w:t>
            </w:r>
          </w:p>
        </w:tc>
        <w:tc>
          <w:tcPr>
            <w:tcW w:w="3600" w:type="dxa"/>
          </w:tcPr>
          <w:p w:rsidR="003654FB" w:rsidRPr="002B489B" w:rsidRDefault="003654FB" w:rsidP="0085361E">
            <w:pPr>
              <w:rPr>
                <w:rFonts w:ascii="Arial" w:hAnsi="Arial" w:cs="Arial"/>
                <w:sz w:val="18"/>
                <w:szCs w:val="18"/>
              </w:rPr>
            </w:pPr>
            <w:r w:rsidRPr="002B489B">
              <w:rPr>
                <w:rFonts w:ascii="Arial" w:hAnsi="Arial" w:cs="Arial"/>
                <w:sz w:val="18"/>
                <w:szCs w:val="18"/>
              </w:rPr>
              <w:t xml:space="preserve">Mesure la part des dettes à moins d’un an que l’on eut régler immédiatement </w:t>
            </w:r>
          </w:p>
        </w:tc>
      </w:tr>
      <w:tr w:rsidR="003654FB" w:rsidRPr="008F2669" w:rsidTr="0085361E">
        <w:tc>
          <w:tcPr>
            <w:tcW w:w="2448" w:type="dxa"/>
          </w:tcPr>
          <w:p w:rsidR="003654FB" w:rsidRPr="002B489B" w:rsidRDefault="003654FB" w:rsidP="0085361E">
            <w:pPr>
              <w:rPr>
                <w:rFonts w:ascii="Arial" w:hAnsi="Arial" w:cs="Arial"/>
                <w:sz w:val="18"/>
                <w:szCs w:val="18"/>
              </w:rPr>
            </w:pPr>
            <w:r w:rsidRPr="002B489B">
              <w:rPr>
                <w:rFonts w:ascii="Arial" w:hAnsi="Arial" w:cs="Arial"/>
                <w:sz w:val="18"/>
                <w:szCs w:val="18"/>
              </w:rPr>
              <w:t>Trésorerie à échéance</w:t>
            </w:r>
          </w:p>
        </w:tc>
        <w:tc>
          <w:tcPr>
            <w:tcW w:w="3420" w:type="dxa"/>
          </w:tcPr>
          <w:p w:rsidR="003654FB" w:rsidRPr="002B489B" w:rsidRDefault="003654FB" w:rsidP="0085361E">
            <w:pPr>
              <w:rPr>
                <w:rFonts w:ascii="Arial" w:hAnsi="Arial" w:cs="Arial"/>
                <w:sz w:val="18"/>
                <w:szCs w:val="18"/>
              </w:rPr>
            </w:pPr>
            <w:r w:rsidRPr="002B489B">
              <w:rPr>
                <w:rFonts w:ascii="Arial" w:hAnsi="Arial" w:cs="Arial"/>
                <w:sz w:val="18"/>
                <w:szCs w:val="18"/>
              </w:rPr>
              <w:t>Actif circulant/passif circulant</w:t>
            </w:r>
          </w:p>
        </w:tc>
        <w:tc>
          <w:tcPr>
            <w:tcW w:w="3600" w:type="dxa"/>
          </w:tcPr>
          <w:p w:rsidR="003654FB" w:rsidRPr="002B489B" w:rsidRDefault="003654FB" w:rsidP="0085361E">
            <w:pPr>
              <w:rPr>
                <w:rFonts w:ascii="Arial" w:hAnsi="Arial" w:cs="Arial"/>
                <w:sz w:val="18"/>
                <w:szCs w:val="18"/>
              </w:rPr>
            </w:pPr>
            <w:r w:rsidRPr="002B489B">
              <w:rPr>
                <w:rFonts w:ascii="Arial" w:hAnsi="Arial" w:cs="Arial"/>
                <w:sz w:val="18"/>
                <w:szCs w:val="18"/>
              </w:rPr>
              <w:t>Si&gt;1 ; la solvabilité est bonne</w:t>
            </w:r>
          </w:p>
        </w:tc>
      </w:tr>
      <w:tr w:rsidR="003654FB" w:rsidRPr="008F2669" w:rsidTr="0085361E">
        <w:tc>
          <w:tcPr>
            <w:tcW w:w="2448" w:type="dxa"/>
          </w:tcPr>
          <w:p w:rsidR="003654FB" w:rsidRPr="002B489B" w:rsidRDefault="003654FB" w:rsidP="0085361E">
            <w:pPr>
              <w:rPr>
                <w:rFonts w:ascii="Arial" w:hAnsi="Arial" w:cs="Arial"/>
                <w:sz w:val="18"/>
                <w:szCs w:val="18"/>
              </w:rPr>
            </w:pPr>
            <w:r w:rsidRPr="002B489B">
              <w:rPr>
                <w:rFonts w:ascii="Arial" w:hAnsi="Arial" w:cs="Arial"/>
                <w:sz w:val="18"/>
                <w:szCs w:val="18"/>
              </w:rPr>
              <w:t>Solvabilité générale</w:t>
            </w:r>
          </w:p>
        </w:tc>
        <w:tc>
          <w:tcPr>
            <w:tcW w:w="3420" w:type="dxa"/>
          </w:tcPr>
          <w:p w:rsidR="003654FB" w:rsidRPr="002B489B" w:rsidRDefault="003654FB" w:rsidP="0085361E">
            <w:pPr>
              <w:rPr>
                <w:rFonts w:ascii="Arial" w:hAnsi="Arial" w:cs="Arial"/>
                <w:sz w:val="18"/>
                <w:szCs w:val="18"/>
              </w:rPr>
            </w:pPr>
            <w:r w:rsidRPr="002B489B">
              <w:rPr>
                <w:rFonts w:ascii="Arial" w:hAnsi="Arial" w:cs="Arial"/>
                <w:sz w:val="18"/>
                <w:szCs w:val="18"/>
              </w:rPr>
              <w:t>Actif total/capitaux étranger</w:t>
            </w:r>
          </w:p>
        </w:tc>
        <w:tc>
          <w:tcPr>
            <w:tcW w:w="3600" w:type="dxa"/>
          </w:tcPr>
          <w:p w:rsidR="003654FB" w:rsidRPr="002B489B" w:rsidRDefault="003654FB" w:rsidP="0085361E">
            <w:pPr>
              <w:rPr>
                <w:rFonts w:ascii="Arial" w:hAnsi="Arial" w:cs="Arial"/>
                <w:sz w:val="18"/>
                <w:szCs w:val="18"/>
              </w:rPr>
            </w:pPr>
            <w:r w:rsidRPr="002B489B">
              <w:rPr>
                <w:rFonts w:ascii="Arial" w:hAnsi="Arial" w:cs="Arial"/>
                <w:sz w:val="18"/>
                <w:szCs w:val="18"/>
              </w:rPr>
              <w:t>&gt;1 indique une forte indépendance</w:t>
            </w:r>
          </w:p>
        </w:tc>
      </w:tr>
    </w:tbl>
    <w:p w:rsidR="003654FB" w:rsidRDefault="003654FB" w:rsidP="003654FB">
      <w:pPr>
        <w:rPr>
          <w:rFonts w:ascii="Arial" w:hAnsi="Arial" w:cs="Arial"/>
        </w:rPr>
      </w:pPr>
    </w:p>
    <w:p w:rsidR="003654FB" w:rsidRPr="003C2891" w:rsidRDefault="003654FB" w:rsidP="003654FB">
      <w:pPr>
        <w:rPr>
          <w:rFonts w:ascii="Arial" w:hAnsi="Arial" w:cs="Arial"/>
          <w:sz w:val="18"/>
          <w:szCs w:val="18"/>
        </w:rPr>
      </w:pPr>
      <w:r>
        <w:rPr>
          <w:rFonts w:ascii="Arial" w:hAnsi="Arial" w:cs="Arial"/>
          <w:noProof/>
          <w:sz w:val="18"/>
          <w:szCs w:val="18"/>
          <w:lang w:eastAsia="fr-FR"/>
        </w:rPr>
        <w:pict>
          <v:shape id="_x0000_s1035" type="#_x0000_t202" style="position:absolute;margin-left:135pt;margin-top:10.45pt;width:180pt;height:18pt;z-index:251669504" stroked="f">
            <v:textbox style="mso-next-textbox:#_x0000_s1035" inset=".5mm,.3mm,.5mm,.3mm">
              <w:txbxContent>
                <w:p w:rsidR="003654FB" w:rsidRPr="003C2891" w:rsidRDefault="003654FB" w:rsidP="003654FB">
                  <w:pPr>
                    <w:rPr>
                      <w:rFonts w:ascii="Arial" w:hAnsi="Arial" w:cs="Arial"/>
                      <w:sz w:val="18"/>
                      <w:szCs w:val="18"/>
                    </w:rPr>
                  </w:pPr>
                  <w:r w:rsidRPr="003C2891">
                    <w:rPr>
                      <w:rFonts w:ascii="Arial" w:hAnsi="Arial" w:cs="Arial"/>
                      <w:sz w:val="18"/>
                      <w:szCs w:val="18"/>
                    </w:rPr>
                    <w:t>Valeur moyenne des stocks X 360</w:t>
                  </w:r>
                </w:p>
              </w:txbxContent>
            </v:textbox>
          </v:shape>
        </w:pict>
      </w:r>
    </w:p>
    <w:p w:rsidR="003654FB" w:rsidRPr="003C2891" w:rsidRDefault="003654FB" w:rsidP="003654FB">
      <w:pPr>
        <w:rPr>
          <w:rFonts w:ascii="Arial" w:hAnsi="Arial" w:cs="Arial"/>
          <w:sz w:val="18"/>
          <w:szCs w:val="18"/>
        </w:rPr>
      </w:pPr>
    </w:p>
    <w:p w:rsidR="003654FB" w:rsidRPr="003C2891" w:rsidRDefault="003654FB" w:rsidP="003654FB">
      <w:pPr>
        <w:rPr>
          <w:rFonts w:ascii="Arial" w:hAnsi="Arial" w:cs="Arial"/>
          <w:sz w:val="18"/>
          <w:szCs w:val="18"/>
        </w:rPr>
      </w:pPr>
      <w:r w:rsidRPr="00551E1E">
        <w:rPr>
          <w:rFonts w:ascii="Arial" w:hAnsi="Arial" w:cs="Arial"/>
          <w:noProof/>
          <w:sz w:val="18"/>
          <w:szCs w:val="18"/>
          <w:u w:val="single"/>
          <w:lang w:eastAsia="fr-FR"/>
        </w:rPr>
        <w:pict>
          <v:shape id="_x0000_s1036" type="#_x0000_t202" style="position:absolute;margin-left:117pt;margin-top:3.15pt;width:3in;height:18pt;z-index:251670528" stroked="f">
            <v:textbox style="mso-next-textbox:#_x0000_s1036" inset=".5mm,.3mm,.5mm,.3mm">
              <w:txbxContent>
                <w:p w:rsidR="003654FB" w:rsidRPr="003C2891" w:rsidRDefault="003654FB" w:rsidP="003654FB">
                  <w:pPr>
                    <w:rPr>
                      <w:rFonts w:ascii="Arial" w:hAnsi="Arial" w:cs="Arial"/>
                      <w:sz w:val="18"/>
                      <w:szCs w:val="18"/>
                    </w:rPr>
                  </w:pPr>
                  <w:r w:rsidRPr="003C2891">
                    <w:rPr>
                      <w:rFonts w:ascii="Arial" w:hAnsi="Arial" w:cs="Arial"/>
                      <w:sz w:val="18"/>
                      <w:szCs w:val="18"/>
                    </w:rPr>
                    <w:t>Montant des consommations intermédiaires</w:t>
                  </w:r>
                </w:p>
              </w:txbxContent>
            </v:textbox>
          </v:shape>
        </w:pict>
      </w:r>
      <w:r w:rsidRPr="00551E1E">
        <w:rPr>
          <w:rFonts w:ascii="Arial" w:hAnsi="Arial" w:cs="Arial"/>
          <w:noProof/>
          <w:sz w:val="18"/>
          <w:szCs w:val="18"/>
          <w:u w:val="single"/>
          <w:lang w:eastAsia="fr-FR"/>
        </w:rPr>
        <w:pict>
          <v:line id="_x0000_s1037" style="position:absolute;z-index:251671552" from="126pt,3.15pt" to="324pt,3.15pt"/>
        </w:pict>
      </w:r>
      <w:r w:rsidRPr="003C2891">
        <w:rPr>
          <w:rFonts w:ascii="Arial" w:hAnsi="Arial" w:cs="Arial"/>
          <w:sz w:val="18"/>
          <w:szCs w:val="18"/>
          <w:u w:val="single"/>
        </w:rPr>
        <w:t>Rotation des stocks</w:t>
      </w:r>
      <w:r w:rsidRPr="003C2891">
        <w:rPr>
          <w:rFonts w:ascii="Arial" w:hAnsi="Arial" w:cs="Arial"/>
          <w:sz w:val="18"/>
          <w:szCs w:val="18"/>
        </w:rPr>
        <w:t xml:space="preserve"> =</w:t>
      </w:r>
    </w:p>
    <w:p w:rsidR="003654FB" w:rsidRPr="003C2891" w:rsidRDefault="003654FB" w:rsidP="003654FB">
      <w:pPr>
        <w:rPr>
          <w:rFonts w:ascii="Arial" w:hAnsi="Arial" w:cs="Arial"/>
          <w:sz w:val="18"/>
          <w:szCs w:val="18"/>
        </w:rPr>
      </w:pPr>
    </w:p>
    <w:p w:rsidR="003654FB" w:rsidRPr="003C2891" w:rsidRDefault="003654FB" w:rsidP="003654FB">
      <w:pPr>
        <w:rPr>
          <w:rFonts w:ascii="Arial" w:hAnsi="Arial" w:cs="Arial"/>
          <w:sz w:val="18"/>
          <w:szCs w:val="18"/>
        </w:rPr>
      </w:pPr>
      <w:r w:rsidRPr="003C2891">
        <w:rPr>
          <w:rFonts w:ascii="Arial" w:hAnsi="Arial" w:cs="Arial"/>
          <w:sz w:val="18"/>
          <w:szCs w:val="18"/>
        </w:rPr>
        <w:t>Une rotation élevée est bon signe sur la vigueur commerciale de l’entreprise</w:t>
      </w:r>
    </w:p>
    <w:p w:rsidR="003654FB" w:rsidRPr="003C2891" w:rsidRDefault="003654FB" w:rsidP="003654FB">
      <w:pPr>
        <w:rPr>
          <w:rFonts w:ascii="Arial" w:hAnsi="Arial" w:cs="Arial"/>
          <w:sz w:val="18"/>
          <w:szCs w:val="18"/>
        </w:rPr>
      </w:pPr>
      <w:r>
        <w:rPr>
          <w:rFonts w:ascii="Arial" w:hAnsi="Arial" w:cs="Arial"/>
          <w:noProof/>
          <w:sz w:val="18"/>
          <w:szCs w:val="18"/>
          <w:lang w:eastAsia="fr-FR"/>
        </w:rPr>
        <w:pict>
          <v:shape id="_x0000_s1040" type="#_x0000_t202" style="position:absolute;margin-left:207pt;margin-top:10.45pt;width:243pt;height:18pt;z-index:251674624" stroked="f">
            <v:fill opacity="0"/>
            <v:textbox style="mso-next-textbox:#_x0000_s1040" inset=".5mm,.3mm,.5mm,.3mm">
              <w:txbxContent>
                <w:p w:rsidR="003654FB" w:rsidRPr="003C2891" w:rsidRDefault="003654FB" w:rsidP="003654FB">
                  <w:pPr>
                    <w:rPr>
                      <w:rFonts w:ascii="Arial" w:hAnsi="Arial" w:cs="Arial"/>
                      <w:sz w:val="18"/>
                      <w:szCs w:val="18"/>
                    </w:rPr>
                  </w:pPr>
                  <w:r w:rsidRPr="003C2891">
                    <w:rPr>
                      <w:rFonts w:ascii="Arial" w:hAnsi="Arial" w:cs="Arial"/>
                      <w:sz w:val="18"/>
                      <w:szCs w:val="18"/>
                    </w:rPr>
                    <w:t>Créances clients + comptes rattachés X 360</w:t>
                  </w:r>
                </w:p>
              </w:txbxContent>
            </v:textbox>
          </v:shape>
        </w:pict>
      </w:r>
    </w:p>
    <w:p w:rsidR="003654FB" w:rsidRPr="003C2891" w:rsidRDefault="003654FB" w:rsidP="003654FB">
      <w:pPr>
        <w:rPr>
          <w:rFonts w:ascii="Arial" w:hAnsi="Arial" w:cs="Arial"/>
          <w:sz w:val="18"/>
          <w:szCs w:val="18"/>
        </w:rPr>
      </w:pPr>
    </w:p>
    <w:p w:rsidR="003654FB" w:rsidRPr="003C2891" w:rsidRDefault="003654FB" w:rsidP="003654FB">
      <w:pPr>
        <w:rPr>
          <w:rFonts w:ascii="Arial" w:hAnsi="Arial" w:cs="Arial"/>
          <w:sz w:val="18"/>
          <w:szCs w:val="18"/>
        </w:rPr>
      </w:pPr>
      <w:r w:rsidRPr="00551E1E">
        <w:rPr>
          <w:rFonts w:ascii="Arial" w:hAnsi="Arial" w:cs="Arial"/>
          <w:noProof/>
          <w:sz w:val="18"/>
          <w:szCs w:val="18"/>
          <w:u w:val="single"/>
          <w:lang w:eastAsia="fr-FR"/>
        </w:rPr>
        <w:pict>
          <v:shape id="_x0000_s1038" type="#_x0000_t202" style="position:absolute;margin-left:270pt;margin-top:3.15pt;width:1in;height:18pt;z-index:251672576" stroked="f">
            <v:textbox style="mso-next-textbox:#_x0000_s1038" inset=".5mm,.3mm,.5mm,.3mm">
              <w:txbxContent>
                <w:p w:rsidR="003654FB" w:rsidRPr="003C2891" w:rsidRDefault="003654FB" w:rsidP="003654FB">
                  <w:pPr>
                    <w:rPr>
                      <w:rFonts w:ascii="Arial" w:hAnsi="Arial" w:cs="Arial"/>
                      <w:sz w:val="18"/>
                      <w:szCs w:val="18"/>
                    </w:rPr>
                  </w:pPr>
                  <w:r w:rsidRPr="003C2891">
                    <w:rPr>
                      <w:rFonts w:ascii="Arial" w:hAnsi="Arial" w:cs="Arial"/>
                      <w:sz w:val="18"/>
                      <w:szCs w:val="18"/>
                    </w:rPr>
                    <w:t>CA net TTC</w:t>
                  </w:r>
                </w:p>
              </w:txbxContent>
            </v:textbox>
          </v:shape>
        </w:pict>
      </w:r>
      <w:r w:rsidRPr="00551E1E">
        <w:rPr>
          <w:rFonts w:ascii="Arial" w:hAnsi="Arial" w:cs="Arial"/>
          <w:noProof/>
          <w:sz w:val="18"/>
          <w:szCs w:val="18"/>
          <w:u w:val="single"/>
          <w:lang w:eastAsia="fr-FR"/>
        </w:rPr>
        <w:pict>
          <v:line id="_x0000_s1039" style="position:absolute;z-index:251673600" from="207pt,3.15pt" to="423pt,3.15pt"/>
        </w:pict>
      </w:r>
      <w:r w:rsidRPr="003C2891">
        <w:rPr>
          <w:rFonts w:ascii="Arial" w:hAnsi="Arial" w:cs="Arial"/>
          <w:sz w:val="18"/>
          <w:szCs w:val="18"/>
          <w:u w:val="single"/>
        </w:rPr>
        <w:t>Durée moyenne des créances clients</w:t>
      </w:r>
      <w:r w:rsidRPr="003C2891">
        <w:rPr>
          <w:rFonts w:ascii="Arial" w:hAnsi="Arial" w:cs="Arial"/>
          <w:sz w:val="18"/>
          <w:szCs w:val="18"/>
        </w:rPr>
        <w:t xml:space="preserve"> =</w:t>
      </w:r>
    </w:p>
    <w:p w:rsidR="003654FB" w:rsidRPr="003C2891" w:rsidRDefault="003654FB" w:rsidP="003654FB">
      <w:pPr>
        <w:rPr>
          <w:rFonts w:ascii="Arial" w:hAnsi="Arial" w:cs="Arial"/>
          <w:sz w:val="18"/>
          <w:szCs w:val="18"/>
        </w:rPr>
      </w:pPr>
    </w:p>
    <w:p w:rsidR="003654FB" w:rsidRPr="003C2891" w:rsidRDefault="003654FB" w:rsidP="003654FB">
      <w:pPr>
        <w:rPr>
          <w:rFonts w:ascii="Arial" w:hAnsi="Arial" w:cs="Arial"/>
          <w:sz w:val="18"/>
          <w:szCs w:val="18"/>
        </w:rPr>
      </w:pPr>
      <w:r>
        <w:rPr>
          <w:rFonts w:ascii="Arial" w:hAnsi="Arial" w:cs="Arial"/>
          <w:noProof/>
          <w:sz w:val="18"/>
          <w:szCs w:val="18"/>
          <w:lang w:eastAsia="fr-FR"/>
        </w:rPr>
        <w:pict>
          <v:shape id="_x0000_s1041" type="#_x0000_t202" style="position:absolute;margin-left:207pt;margin-top:8.5pt;width:234pt;height:18pt;z-index:251675648" stroked="f">
            <v:textbox style="mso-next-textbox:#_x0000_s1041" inset=".5mm,.3mm,.5mm,.3mm">
              <w:txbxContent>
                <w:p w:rsidR="003654FB" w:rsidRPr="003C2891" w:rsidRDefault="003654FB" w:rsidP="003654FB">
                  <w:pPr>
                    <w:rPr>
                      <w:rFonts w:ascii="Arial" w:hAnsi="Arial" w:cs="Arial"/>
                      <w:sz w:val="18"/>
                      <w:szCs w:val="18"/>
                    </w:rPr>
                  </w:pPr>
                  <w:r w:rsidRPr="003C2891">
                    <w:rPr>
                      <w:rFonts w:ascii="Arial" w:hAnsi="Arial" w:cs="Arial"/>
                      <w:sz w:val="18"/>
                      <w:szCs w:val="18"/>
                    </w:rPr>
                    <w:t>Dettes fournisseurs + comptes rattachés X 360</w:t>
                  </w:r>
                </w:p>
              </w:txbxContent>
            </v:textbox>
          </v:shape>
        </w:pict>
      </w:r>
    </w:p>
    <w:p w:rsidR="003654FB" w:rsidRPr="003C2891" w:rsidRDefault="003654FB" w:rsidP="003654FB">
      <w:pPr>
        <w:rPr>
          <w:rFonts w:ascii="Arial" w:hAnsi="Arial" w:cs="Arial"/>
          <w:sz w:val="18"/>
          <w:szCs w:val="18"/>
        </w:rPr>
      </w:pPr>
      <w:r w:rsidRPr="003C2891">
        <w:rPr>
          <w:rFonts w:ascii="Arial" w:hAnsi="Arial" w:cs="Arial"/>
          <w:sz w:val="18"/>
          <w:szCs w:val="18"/>
          <w:u w:val="single"/>
        </w:rPr>
        <w:t>Durée moyenne des dettes clients</w:t>
      </w:r>
      <w:r w:rsidRPr="003C2891">
        <w:rPr>
          <w:rFonts w:ascii="Arial" w:hAnsi="Arial" w:cs="Arial"/>
          <w:sz w:val="18"/>
          <w:szCs w:val="18"/>
        </w:rPr>
        <w:t xml:space="preserve"> =</w:t>
      </w:r>
    </w:p>
    <w:p w:rsidR="003654FB" w:rsidRPr="003C2891" w:rsidRDefault="003654FB" w:rsidP="003654FB">
      <w:pPr>
        <w:rPr>
          <w:rFonts w:ascii="Arial" w:hAnsi="Arial" w:cs="Arial"/>
          <w:sz w:val="18"/>
          <w:szCs w:val="18"/>
        </w:rPr>
      </w:pPr>
      <w:r>
        <w:rPr>
          <w:rFonts w:ascii="Arial" w:hAnsi="Arial" w:cs="Arial"/>
          <w:noProof/>
          <w:sz w:val="18"/>
          <w:szCs w:val="18"/>
          <w:lang w:eastAsia="fr-FR"/>
        </w:rPr>
        <w:pict>
          <v:shape id="_x0000_s1043" type="#_x0000_t202" style="position:absolute;margin-left:279pt;margin-top:6.55pt;width:90pt;height:18pt;z-index:251677696" stroked="f">
            <v:textbox style="mso-next-textbox:#_x0000_s1043" inset=".5mm,.3mm,.5mm,.3mm">
              <w:txbxContent>
                <w:p w:rsidR="003654FB" w:rsidRPr="003C2891" w:rsidRDefault="003654FB" w:rsidP="003654FB">
                  <w:pPr>
                    <w:rPr>
                      <w:rFonts w:ascii="Arial" w:hAnsi="Arial" w:cs="Arial"/>
                      <w:sz w:val="18"/>
                      <w:szCs w:val="18"/>
                    </w:rPr>
                  </w:pPr>
                  <w:r w:rsidRPr="003C2891">
                    <w:rPr>
                      <w:rFonts w:ascii="Arial" w:hAnsi="Arial" w:cs="Arial"/>
                      <w:sz w:val="18"/>
                      <w:szCs w:val="18"/>
                    </w:rPr>
                    <w:t>Achats nets TTC</w:t>
                  </w:r>
                </w:p>
              </w:txbxContent>
            </v:textbox>
          </v:shape>
        </w:pict>
      </w:r>
      <w:r>
        <w:rPr>
          <w:rFonts w:ascii="Arial" w:hAnsi="Arial" w:cs="Arial"/>
          <w:noProof/>
          <w:sz w:val="18"/>
          <w:szCs w:val="18"/>
          <w:lang w:eastAsia="fr-FR"/>
        </w:rPr>
        <w:pict>
          <v:line id="_x0000_s1042" style="position:absolute;z-index:251676672" from="3in,1.2pt" to="6in,1.2pt"/>
        </w:pict>
      </w:r>
    </w:p>
    <w:p w:rsidR="003654FB" w:rsidRDefault="003654FB" w:rsidP="003654FB">
      <w:pPr>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p>
    <w:p w:rsidR="003654FB" w:rsidRDefault="003654FB" w:rsidP="003654FB">
      <w:pPr>
        <w:jc w:val="both"/>
        <w:rPr>
          <w:rFonts w:ascii="Arial" w:hAnsi="Arial" w:cs="Arial"/>
        </w:rPr>
      </w:pPr>
      <w:r w:rsidRPr="008F2669">
        <w:rPr>
          <w:rFonts w:ascii="Arial" w:hAnsi="Arial" w:cs="Arial"/>
        </w:rPr>
        <w:lastRenderedPageBreak/>
        <w:t xml:space="preserve">A Partir du bilan comptable, on peut calculer le </w:t>
      </w:r>
      <w:r w:rsidRPr="003E0A9F">
        <w:rPr>
          <w:rFonts w:ascii="Arial" w:hAnsi="Arial" w:cs="Arial"/>
          <w:u w:val="single"/>
        </w:rPr>
        <w:t>bilan fonctionnel</w:t>
      </w:r>
      <w:r w:rsidRPr="008F2669">
        <w:rPr>
          <w:rFonts w:ascii="Arial" w:hAnsi="Arial" w:cs="Arial"/>
        </w:rPr>
        <w:t xml:space="preserve"> qui est un bilan simplifié nécessaire pour l’analyse comptable. La construction peut se schématiser ainsi :</w:t>
      </w:r>
    </w:p>
    <w:p w:rsidR="003654FB" w:rsidRPr="008F2669" w:rsidRDefault="003654FB" w:rsidP="003654FB">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5"/>
        <w:gridCol w:w="1500"/>
        <w:gridCol w:w="1728"/>
        <w:gridCol w:w="1496"/>
        <w:gridCol w:w="1524"/>
        <w:gridCol w:w="1515"/>
      </w:tblGrid>
      <w:tr w:rsidR="003654FB" w:rsidRPr="00CC2DE0" w:rsidTr="0085361E">
        <w:tc>
          <w:tcPr>
            <w:tcW w:w="9212" w:type="dxa"/>
            <w:gridSpan w:val="6"/>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Bilan comptable</w:t>
            </w:r>
          </w:p>
        </w:tc>
      </w:tr>
      <w:tr w:rsidR="003654FB" w:rsidRPr="00CC2DE0" w:rsidTr="0085361E">
        <w:tc>
          <w:tcPr>
            <w:tcW w:w="1535"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Actif</w:t>
            </w:r>
          </w:p>
        </w:tc>
        <w:tc>
          <w:tcPr>
            <w:tcW w:w="1535"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Brut</w:t>
            </w:r>
          </w:p>
        </w:tc>
        <w:tc>
          <w:tcPr>
            <w:tcW w:w="1535"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Amort</w:t>
            </w:r>
            <w:r>
              <w:rPr>
                <w:rStyle w:val="Fort"/>
                <w:rFonts w:ascii="Arial" w:hAnsi="Arial" w:cs="Arial"/>
                <w:sz w:val="20"/>
                <w:szCs w:val="20"/>
              </w:rPr>
              <w:t>issement</w:t>
            </w:r>
            <w:r w:rsidRPr="00636A31">
              <w:rPr>
                <w:rStyle w:val="Fort"/>
                <w:rFonts w:ascii="Arial" w:hAnsi="Arial" w:cs="Arial"/>
                <w:sz w:val="20"/>
                <w:szCs w:val="20"/>
              </w:rPr>
              <w:t>.</w:t>
            </w:r>
          </w:p>
        </w:tc>
        <w:tc>
          <w:tcPr>
            <w:tcW w:w="1535"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Net</w:t>
            </w:r>
          </w:p>
        </w:tc>
        <w:tc>
          <w:tcPr>
            <w:tcW w:w="1536"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Passif</w:t>
            </w:r>
          </w:p>
        </w:tc>
        <w:tc>
          <w:tcPr>
            <w:tcW w:w="1536"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Montant</w:t>
            </w:r>
          </w:p>
        </w:tc>
      </w:tr>
      <w:tr w:rsidR="003654FB" w:rsidRPr="00CC2DE0" w:rsidTr="0085361E">
        <w:tc>
          <w:tcPr>
            <w:tcW w:w="1535"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Actif immobilisé</w:t>
            </w:r>
          </w:p>
        </w:tc>
        <w:tc>
          <w:tcPr>
            <w:tcW w:w="1535" w:type="dxa"/>
          </w:tcPr>
          <w:p w:rsidR="003654FB" w:rsidRPr="00636A31" w:rsidRDefault="003654FB" w:rsidP="0085361E">
            <w:pPr>
              <w:jc w:val="both"/>
              <w:rPr>
                <w:rStyle w:val="Fort"/>
                <w:rFonts w:ascii="Arial" w:hAnsi="Arial" w:cs="Arial"/>
                <w:b w:val="0"/>
                <w:sz w:val="20"/>
                <w:szCs w:val="20"/>
              </w:rPr>
            </w:pPr>
            <w:r>
              <w:rPr>
                <w:rFonts w:ascii="Arial" w:hAnsi="Arial" w:cs="Arial"/>
                <w:noProof/>
                <w:sz w:val="20"/>
                <w:szCs w:val="20"/>
                <w:lang w:eastAsia="fr-FR"/>
              </w:rPr>
              <w:pict>
                <v:shapetype id="_x0000_t32" coordsize="21600,21600" o:spt="32" o:oned="t" path="m,l21600,21600e" filled="f">
                  <v:path arrowok="t" fillok="f" o:connecttype="none"/>
                  <o:lock v:ext="edit" shapetype="t"/>
                </v:shapetype>
                <v:shape id="_x0000_s1026" type="#_x0000_t32" style="position:absolute;left:0;text-align:left;margin-left:-.45pt;margin-top:4pt;width:49.7pt;height:87.3pt;z-index:251660288;mso-position-horizontal-relative:text;mso-position-vertical-relative:text" o:connectortype="straight">
                  <v:stroke endarrow="block"/>
                </v:shape>
              </w:pict>
            </w:r>
          </w:p>
        </w:tc>
        <w:tc>
          <w:tcPr>
            <w:tcW w:w="1535" w:type="dxa"/>
          </w:tcPr>
          <w:p w:rsidR="003654FB" w:rsidRPr="00636A31" w:rsidRDefault="003654FB" w:rsidP="0085361E">
            <w:pPr>
              <w:jc w:val="both"/>
              <w:rPr>
                <w:rStyle w:val="Fort"/>
                <w:rFonts w:ascii="Arial" w:hAnsi="Arial" w:cs="Arial"/>
                <w:b w:val="0"/>
                <w:sz w:val="20"/>
                <w:szCs w:val="20"/>
              </w:rPr>
            </w:pPr>
            <w:r>
              <w:rPr>
                <w:rFonts w:ascii="Arial" w:hAnsi="Arial" w:cs="Arial"/>
                <w:noProof/>
                <w:sz w:val="20"/>
                <w:szCs w:val="20"/>
                <w:lang w:eastAsia="fr-FR"/>
              </w:rPr>
              <w:pict>
                <v:shape id="_x0000_s1028" type="#_x0000_t32" style="position:absolute;left:0;text-align:left;margin-left:-.2pt;margin-top:4pt;width:215.7pt;height:87.3pt;z-index:251662336;mso-position-horizontal-relative:text;mso-position-vertical-relative:text" o:connectortype="straight">
                  <v:stroke endarrow="block"/>
                </v:shape>
              </w:pict>
            </w:r>
          </w:p>
        </w:tc>
        <w:tc>
          <w:tcPr>
            <w:tcW w:w="1535" w:type="dxa"/>
          </w:tcPr>
          <w:p w:rsidR="003654FB" w:rsidRPr="00636A31" w:rsidRDefault="003654FB" w:rsidP="0085361E">
            <w:pPr>
              <w:jc w:val="both"/>
              <w:rPr>
                <w:rStyle w:val="Fort"/>
                <w:rFonts w:ascii="Arial" w:hAnsi="Arial" w:cs="Arial"/>
                <w:b w:val="0"/>
                <w:sz w:val="20"/>
                <w:szCs w:val="20"/>
              </w:rPr>
            </w:pPr>
          </w:p>
        </w:tc>
        <w:tc>
          <w:tcPr>
            <w:tcW w:w="1536"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Capitaux propres</w:t>
            </w:r>
          </w:p>
        </w:tc>
        <w:tc>
          <w:tcPr>
            <w:tcW w:w="1536" w:type="dxa"/>
          </w:tcPr>
          <w:p w:rsidR="003654FB" w:rsidRPr="00636A31" w:rsidRDefault="003654FB" w:rsidP="0085361E">
            <w:pPr>
              <w:jc w:val="both"/>
              <w:rPr>
                <w:rStyle w:val="Fort"/>
                <w:rFonts w:ascii="Arial" w:hAnsi="Arial" w:cs="Arial"/>
                <w:b w:val="0"/>
                <w:sz w:val="20"/>
                <w:szCs w:val="20"/>
              </w:rPr>
            </w:pPr>
            <w:r>
              <w:rPr>
                <w:rFonts w:ascii="Arial" w:hAnsi="Arial" w:cs="Arial"/>
                <w:noProof/>
                <w:sz w:val="20"/>
                <w:szCs w:val="20"/>
                <w:lang w:eastAsia="fr-FR"/>
              </w:rPr>
              <w:pict>
                <v:shape id="_x0000_s1030" type="#_x0000_t32" style="position:absolute;left:0;text-align:left;margin-left:3.2pt;margin-top:4pt;width:7.35pt;height:69.3pt;flip:x;z-index:251664384;mso-position-horizontal-relative:text;mso-position-vertical-relative:text" o:connectortype="straight">
                  <v:stroke endarrow="block"/>
                </v:shape>
              </w:pict>
            </w:r>
          </w:p>
        </w:tc>
      </w:tr>
      <w:tr w:rsidR="003654FB" w:rsidRPr="00CC2DE0" w:rsidTr="0085361E">
        <w:tc>
          <w:tcPr>
            <w:tcW w:w="1535" w:type="dxa"/>
            <w:vMerge w:val="restart"/>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Actif circulant</w:t>
            </w:r>
          </w:p>
        </w:tc>
        <w:tc>
          <w:tcPr>
            <w:tcW w:w="1535" w:type="dxa"/>
            <w:vMerge w:val="restart"/>
          </w:tcPr>
          <w:p w:rsidR="003654FB" w:rsidRPr="00636A31" w:rsidRDefault="003654FB" w:rsidP="0085361E">
            <w:pPr>
              <w:jc w:val="both"/>
              <w:rPr>
                <w:rStyle w:val="Fort"/>
                <w:rFonts w:ascii="Arial" w:hAnsi="Arial" w:cs="Arial"/>
                <w:b w:val="0"/>
                <w:sz w:val="20"/>
                <w:szCs w:val="20"/>
              </w:rPr>
            </w:pPr>
            <w:r>
              <w:rPr>
                <w:rFonts w:ascii="Arial" w:hAnsi="Arial" w:cs="Arial"/>
                <w:noProof/>
                <w:sz w:val="20"/>
                <w:szCs w:val="20"/>
                <w:lang w:eastAsia="fr-FR"/>
              </w:rPr>
              <w:pict>
                <v:shape id="_x0000_s1027" type="#_x0000_t32" style="position:absolute;left:0;text-align:left;margin-left:56.65pt;margin-top:13.8pt;width:55.6pt;height:63pt;z-index:251661312;mso-position-horizontal-relative:text;mso-position-vertical-relative:text" o:connectortype="straight">
                  <v:stroke endarrow="block"/>
                </v:shape>
              </w:pict>
            </w:r>
          </w:p>
        </w:tc>
        <w:tc>
          <w:tcPr>
            <w:tcW w:w="1535" w:type="dxa"/>
            <w:vMerge w:val="restart"/>
          </w:tcPr>
          <w:p w:rsidR="003654FB" w:rsidRPr="00636A31" w:rsidRDefault="003654FB" w:rsidP="0085361E">
            <w:pPr>
              <w:jc w:val="both"/>
              <w:rPr>
                <w:rStyle w:val="Fort"/>
                <w:rFonts w:ascii="Arial" w:hAnsi="Arial" w:cs="Arial"/>
                <w:b w:val="0"/>
                <w:sz w:val="20"/>
                <w:szCs w:val="20"/>
              </w:rPr>
            </w:pPr>
            <w:r>
              <w:rPr>
                <w:rFonts w:ascii="Arial" w:hAnsi="Arial" w:cs="Arial"/>
                <w:noProof/>
                <w:sz w:val="20"/>
                <w:szCs w:val="20"/>
                <w:lang w:eastAsia="fr-FR"/>
              </w:rPr>
              <w:pict>
                <v:shape id="_x0000_s1029" type="#_x0000_t32" style="position:absolute;left:0;text-align:left;margin-left:8.55pt;margin-top:10.2pt;width:197.95pt;height:66.6pt;z-index:251663360;mso-position-horizontal-relative:text;mso-position-vertical-relative:text" o:connectortype="straight">
                  <v:stroke endarrow="block"/>
                </v:shape>
              </w:pict>
            </w:r>
          </w:p>
        </w:tc>
        <w:tc>
          <w:tcPr>
            <w:tcW w:w="1535" w:type="dxa"/>
            <w:vMerge w:val="restart"/>
          </w:tcPr>
          <w:p w:rsidR="003654FB" w:rsidRPr="00636A31" w:rsidRDefault="003654FB" w:rsidP="0085361E">
            <w:pPr>
              <w:jc w:val="both"/>
              <w:rPr>
                <w:rStyle w:val="Fort"/>
                <w:rFonts w:ascii="Arial" w:hAnsi="Arial" w:cs="Arial"/>
                <w:b w:val="0"/>
                <w:sz w:val="20"/>
                <w:szCs w:val="20"/>
              </w:rPr>
            </w:pPr>
          </w:p>
        </w:tc>
        <w:tc>
          <w:tcPr>
            <w:tcW w:w="1536"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Provisions</w:t>
            </w:r>
          </w:p>
        </w:tc>
        <w:tc>
          <w:tcPr>
            <w:tcW w:w="1536" w:type="dxa"/>
          </w:tcPr>
          <w:p w:rsidR="003654FB" w:rsidRPr="00636A31" w:rsidRDefault="003654FB" w:rsidP="0085361E">
            <w:pPr>
              <w:jc w:val="both"/>
              <w:rPr>
                <w:rStyle w:val="Fort"/>
                <w:rFonts w:ascii="Arial" w:hAnsi="Arial" w:cs="Arial"/>
                <w:b w:val="0"/>
                <w:sz w:val="20"/>
                <w:szCs w:val="20"/>
              </w:rPr>
            </w:pPr>
            <w:r>
              <w:rPr>
                <w:rFonts w:ascii="Arial" w:hAnsi="Arial" w:cs="Arial"/>
                <w:noProof/>
                <w:sz w:val="20"/>
                <w:szCs w:val="20"/>
                <w:lang w:eastAsia="fr-FR"/>
              </w:rPr>
              <w:pict>
                <v:shape id="_x0000_s1032" type="#_x0000_t32" style="position:absolute;left:0;text-align:left;margin-left:26.7pt;margin-top:4.2pt;width:3.4pt;height:73.45pt;z-index:251666432;mso-position-horizontal-relative:text;mso-position-vertical-relative:text" o:connectortype="straight">
                  <v:stroke endarrow="block"/>
                </v:shape>
              </w:pict>
            </w:r>
            <w:r>
              <w:rPr>
                <w:rFonts w:ascii="Arial" w:hAnsi="Arial" w:cs="Arial"/>
                <w:noProof/>
                <w:sz w:val="20"/>
                <w:szCs w:val="20"/>
                <w:lang w:eastAsia="fr-FR"/>
              </w:rPr>
              <w:pict>
                <v:shape id="_x0000_s1031" type="#_x0000_t32" style="position:absolute;left:0;text-align:left;margin-left:12.2pt;margin-top:3.35pt;width:14.6pt;height:64.45pt;flip:x;z-index:251665408;mso-position-horizontal-relative:text;mso-position-vertical-relative:text" o:connectortype="straight">
                  <v:stroke endarrow="block"/>
                </v:shape>
              </w:pict>
            </w:r>
          </w:p>
        </w:tc>
      </w:tr>
      <w:tr w:rsidR="003654FB" w:rsidRPr="00CC2DE0" w:rsidTr="0085361E">
        <w:tc>
          <w:tcPr>
            <w:tcW w:w="1535" w:type="dxa"/>
            <w:vMerge/>
          </w:tcPr>
          <w:p w:rsidR="003654FB" w:rsidRPr="00636A31" w:rsidRDefault="003654FB" w:rsidP="0085361E">
            <w:pPr>
              <w:jc w:val="both"/>
              <w:rPr>
                <w:rStyle w:val="Fort"/>
                <w:rFonts w:ascii="Arial" w:hAnsi="Arial" w:cs="Arial"/>
                <w:b w:val="0"/>
                <w:sz w:val="20"/>
                <w:szCs w:val="20"/>
              </w:rPr>
            </w:pPr>
          </w:p>
        </w:tc>
        <w:tc>
          <w:tcPr>
            <w:tcW w:w="1535" w:type="dxa"/>
            <w:vMerge/>
          </w:tcPr>
          <w:p w:rsidR="003654FB" w:rsidRPr="00636A31" w:rsidRDefault="003654FB" w:rsidP="0085361E">
            <w:pPr>
              <w:jc w:val="both"/>
              <w:rPr>
                <w:rStyle w:val="Fort"/>
                <w:rFonts w:ascii="Arial" w:hAnsi="Arial" w:cs="Arial"/>
                <w:b w:val="0"/>
                <w:sz w:val="20"/>
                <w:szCs w:val="20"/>
              </w:rPr>
            </w:pPr>
          </w:p>
        </w:tc>
        <w:tc>
          <w:tcPr>
            <w:tcW w:w="1535" w:type="dxa"/>
            <w:vMerge/>
          </w:tcPr>
          <w:p w:rsidR="003654FB" w:rsidRPr="00636A31" w:rsidRDefault="003654FB" w:rsidP="0085361E">
            <w:pPr>
              <w:jc w:val="both"/>
              <w:rPr>
                <w:rStyle w:val="Fort"/>
                <w:rFonts w:ascii="Arial" w:hAnsi="Arial" w:cs="Arial"/>
                <w:b w:val="0"/>
                <w:sz w:val="20"/>
                <w:szCs w:val="20"/>
              </w:rPr>
            </w:pPr>
          </w:p>
        </w:tc>
        <w:tc>
          <w:tcPr>
            <w:tcW w:w="1535" w:type="dxa"/>
            <w:vMerge/>
          </w:tcPr>
          <w:p w:rsidR="003654FB" w:rsidRPr="00636A31" w:rsidRDefault="003654FB" w:rsidP="0085361E">
            <w:pPr>
              <w:jc w:val="both"/>
              <w:rPr>
                <w:rStyle w:val="Fort"/>
                <w:rFonts w:ascii="Arial" w:hAnsi="Arial" w:cs="Arial"/>
                <w:b w:val="0"/>
                <w:sz w:val="20"/>
                <w:szCs w:val="20"/>
              </w:rPr>
            </w:pPr>
          </w:p>
        </w:tc>
        <w:tc>
          <w:tcPr>
            <w:tcW w:w="1536"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Dettes</w:t>
            </w:r>
          </w:p>
        </w:tc>
        <w:tc>
          <w:tcPr>
            <w:tcW w:w="1536" w:type="dxa"/>
          </w:tcPr>
          <w:p w:rsidR="003654FB" w:rsidRPr="00636A31" w:rsidRDefault="003654FB" w:rsidP="0085361E">
            <w:pPr>
              <w:jc w:val="both"/>
              <w:rPr>
                <w:rStyle w:val="Fort"/>
                <w:rFonts w:ascii="Arial" w:hAnsi="Arial" w:cs="Arial"/>
                <w:b w:val="0"/>
                <w:sz w:val="20"/>
                <w:szCs w:val="20"/>
              </w:rPr>
            </w:pPr>
            <w:r>
              <w:rPr>
                <w:rFonts w:ascii="Arial" w:hAnsi="Arial" w:cs="Arial"/>
                <w:noProof/>
                <w:sz w:val="20"/>
                <w:szCs w:val="20"/>
                <w:lang w:eastAsia="fr-FR"/>
              </w:rPr>
              <w:pict>
                <v:shape id="_x0000_s1034" type="#_x0000_t32" style="position:absolute;left:0;text-align:left;margin-left:45.1pt;margin-top:5.95pt;width:16.3pt;height:60.1pt;z-index:251668480;mso-position-horizontal-relative:text;mso-position-vertical-relative:text" o:connectortype="straight">
                  <v:stroke endarrow="block"/>
                </v:shape>
              </w:pict>
            </w:r>
            <w:r>
              <w:rPr>
                <w:rFonts w:ascii="Arial" w:hAnsi="Arial" w:cs="Arial"/>
                <w:noProof/>
                <w:sz w:val="20"/>
                <w:szCs w:val="20"/>
                <w:lang w:eastAsia="fr-FR"/>
              </w:rPr>
              <w:pict>
                <v:shape id="_x0000_s1033" type="#_x0000_t32" style="position:absolute;left:0;text-align:left;margin-left:44.65pt;margin-top:5.95pt;width:.6pt;height:44.45pt;flip:x;z-index:251667456;mso-position-horizontal-relative:text;mso-position-vertical-relative:text" o:connectortype="straight">
                  <v:stroke endarrow="block"/>
                </v:shape>
              </w:pict>
            </w:r>
          </w:p>
        </w:tc>
      </w:tr>
    </w:tbl>
    <w:p w:rsidR="003654FB" w:rsidRPr="00636A31" w:rsidRDefault="003654FB" w:rsidP="003654FB">
      <w:pPr>
        <w:jc w:val="both"/>
        <w:rPr>
          <w:rStyle w:val="Fort"/>
          <w:rFonts w:ascii="Arial" w:hAnsi="Arial" w:cs="Arial"/>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3654FB" w:rsidRPr="007D3963" w:rsidTr="0085361E">
        <w:tc>
          <w:tcPr>
            <w:tcW w:w="9212" w:type="dxa"/>
            <w:gridSpan w:val="4"/>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Bilan fonctionnel</w:t>
            </w:r>
          </w:p>
        </w:tc>
      </w:tr>
      <w:tr w:rsidR="003654FB" w:rsidRPr="007D3963" w:rsidTr="0085361E">
        <w:tc>
          <w:tcPr>
            <w:tcW w:w="2303"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Actif</w:t>
            </w:r>
          </w:p>
        </w:tc>
        <w:tc>
          <w:tcPr>
            <w:tcW w:w="2303"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Montant</w:t>
            </w:r>
          </w:p>
        </w:tc>
        <w:tc>
          <w:tcPr>
            <w:tcW w:w="2303"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Passif</w:t>
            </w:r>
          </w:p>
        </w:tc>
        <w:tc>
          <w:tcPr>
            <w:tcW w:w="2303"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Montant</w:t>
            </w:r>
          </w:p>
        </w:tc>
      </w:tr>
      <w:tr w:rsidR="003654FB" w:rsidRPr="007D3963" w:rsidTr="0085361E">
        <w:tc>
          <w:tcPr>
            <w:tcW w:w="2303"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Emplois Stables</w:t>
            </w:r>
          </w:p>
        </w:tc>
        <w:tc>
          <w:tcPr>
            <w:tcW w:w="2303" w:type="dxa"/>
          </w:tcPr>
          <w:p w:rsidR="003654FB" w:rsidRPr="00636A31" w:rsidRDefault="003654FB" w:rsidP="0085361E">
            <w:pPr>
              <w:jc w:val="both"/>
              <w:rPr>
                <w:rStyle w:val="Fort"/>
                <w:rFonts w:ascii="Arial" w:hAnsi="Arial" w:cs="Arial"/>
                <w:b w:val="0"/>
                <w:sz w:val="20"/>
                <w:szCs w:val="20"/>
              </w:rPr>
            </w:pPr>
          </w:p>
        </w:tc>
        <w:tc>
          <w:tcPr>
            <w:tcW w:w="2303"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Ressources stables</w:t>
            </w:r>
          </w:p>
        </w:tc>
        <w:tc>
          <w:tcPr>
            <w:tcW w:w="2303" w:type="dxa"/>
          </w:tcPr>
          <w:p w:rsidR="003654FB" w:rsidRPr="00636A31" w:rsidRDefault="003654FB" w:rsidP="0085361E">
            <w:pPr>
              <w:jc w:val="both"/>
              <w:rPr>
                <w:rStyle w:val="Fort"/>
                <w:rFonts w:ascii="Arial" w:hAnsi="Arial" w:cs="Arial"/>
                <w:b w:val="0"/>
                <w:sz w:val="20"/>
                <w:szCs w:val="20"/>
              </w:rPr>
            </w:pPr>
          </w:p>
        </w:tc>
      </w:tr>
      <w:tr w:rsidR="003654FB" w:rsidRPr="007D3963" w:rsidTr="0085361E">
        <w:tc>
          <w:tcPr>
            <w:tcW w:w="2303"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Actif circulant</w:t>
            </w:r>
          </w:p>
        </w:tc>
        <w:tc>
          <w:tcPr>
            <w:tcW w:w="2303" w:type="dxa"/>
          </w:tcPr>
          <w:p w:rsidR="003654FB" w:rsidRPr="00636A31" w:rsidRDefault="003654FB" w:rsidP="0085361E">
            <w:pPr>
              <w:jc w:val="both"/>
              <w:rPr>
                <w:rStyle w:val="Fort"/>
                <w:rFonts w:ascii="Arial" w:hAnsi="Arial" w:cs="Arial"/>
                <w:b w:val="0"/>
                <w:sz w:val="20"/>
                <w:szCs w:val="20"/>
              </w:rPr>
            </w:pPr>
          </w:p>
        </w:tc>
        <w:tc>
          <w:tcPr>
            <w:tcW w:w="2303" w:type="dxa"/>
          </w:tcPr>
          <w:p w:rsidR="003654FB" w:rsidRPr="00636A31" w:rsidRDefault="003654FB" w:rsidP="0085361E">
            <w:pPr>
              <w:jc w:val="both"/>
              <w:rPr>
                <w:rStyle w:val="Fort"/>
                <w:rFonts w:ascii="Arial" w:hAnsi="Arial" w:cs="Arial"/>
                <w:b w:val="0"/>
                <w:sz w:val="20"/>
                <w:szCs w:val="20"/>
              </w:rPr>
            </w:pPr>
            <w:r w:rsidRPr="00636A31">
              <w:rPr>
                <w:rStyle w:val="Fort"/>
                <w:rFonts w:ascii="Arial" w:hAnsi="Arial" w:cs="Arial"/>
                <w:sz w:val="20"/>
                <w:szCs w:val="20"/>
              </w:rPr>
              <w:t>Passif circulant</w:t>
            </w:r>
          </w:p>
        </w:tc>
        <w:tc>
          <w:tcPr>
            <w:tcW w:w="2303" w:type="dxa"/>
          </w:tcPr>
          <w:p w:rsidR="003654FB" w:rsidRPr="00636A31" w:rsidRDefault="003654FB" w:rsidP="0085361E">
            <w:pPr>
              <w:jc w:val="both"/>
              <w:rPr>
                <w:rStyle w:val="Fort"/>
                <w:rFonts w:ascii="Arial" w:hAnsi="Arial" w:cs="Arial"/>
                <w:b w:val="0"/>
                <w:sz w:val="20"/>
                <w:szCs w:val="20"/>
              </w:rPr>
            </w:pPr>
          </w:p>
        </w:tc>
      </w:tr>
    </w:tbl>
    <w:p w:rsidR="003654FB" w:rsidRPr="00636A31" w:rsidRDefault="003654FB" w:rsidP="003654FB">
      <w:pPr>
        <w:jc w:val="both"/>
        <w:rPr>
          <w:rStyle w:val="Fort"/>
          <w:rFonts w:ascii="Arial" w:hAnsi="Arial" w:cs="Arial"/>
          <w:b w:val="0"/>
        </w:rPr>
      </w:pPr>
    </w:p>
    <w:p w:rsidR="003654FB" w:rsidRPr="003654FB" w:rsidRDefault="003654FB" w:rsidP="003654FB">
      <w:pPr>
        <w:jc w:val="both"/>
        <w:rPr>
          <w:rStyle w:val="Fort"/>
          <w:rFonts w:ascii="Arial" w:hAnsi="Arial" w:cs="Arial"/>
          <w:b w:val="0"/>
        </w:rPr>
      </w:pPr>
      <w:r w:rsidRPr="003654FB">
        <w:rPr>
          <w:rStyle w:val="Fort"/>
          <w:rFonts w:ascii="Arial" w:hAnsi="Arial" w:cs="Arial"/>
          <w:b w:val="0"/>
        </w:rPr>
        <w:t>Ce bilan fonctionnel peut être analysé à deux niveaux :</w:t>
      </w:r>
    </w:p>
    <w:p w:rsidR="003654FB" w:rsidRPr="003654FB" w:rsidRDefault="003654FB" w:rsidP="003654FB">
      <w:pPr>
        <w:ind w:firstLine="708"/>
        <w:jc w:val="both"/>
        <w:rPr>
          <w:rStyle w:val="Fort"/>
          <w:rFonts w:ascii="Arial" w:hAnsi="Arial" w:cs="Arial"/>
          <w:b w:val="0"/>
        </w:rPr>
      </w:pPr>
      <w:r w:rsidRPr="003654FB">
        <w:rPr>
          <w:rStyle w:val="Fort"/>
          <w:rFonts w:ascii="Arial" w:hAnsi="Arial" w:cs="Arial"/>
          <w:b w:val="0"/>
        </w:rPr>
        <w:t xml:space="preserve">- </w:t>
      </w:r>
      <w:r w:rsidRPr="003654FB">
        <w:rPr>
          <w:rStyle w:val="Fort"/>
          <w:rFonts w:ascii="Arial" w:hAnsi="Arial" w:cs="Arial"/>
          <w:b w:val="0"/>
          <w:u w:val="single"/>
        </w:rPr>
        <w:t>d’abord en comparant la partie haute</w:t>
      </w:r>
      <w:r w:rsidRPr="003654FB">
        <w:rPr>
          <w:rStyle w:val="Fort"/>
          <w:rFonts w:ascii="Arial" w:hAnsi="Arial" w:cs="Arial"/>
          <w:b w:val="0"/>
        </w:rPr>
        <w:t xml:space="preserve">, c'est-à-dire les emplois stables aux ressources stables, on peut calculer le fonds de roulement net global (FRNG). En effet, l’entreprise doit assurer le financement des emplois stables par des ressources stables. </w:t>
      </w:r>
    </w:p>
    <w:p w:rsidR="003654FB" w:rsidRPr="003654FB" w:rsidRDefault="003654FB" w:rsidP="003654FB">
      <w:pPr>
        <w:jc w:val="both"/>
        <w:rPr>
          <w:rStyle w:val="Fort"/>
          <w:rFonts w:ascii="Arial" w:hAnsi="Arial" w:cs="Arial"/>
          <w:b w:val="0"/>
        </w:rPr>
      </w:pPr>
      <w:r w:rsidRPr="003654FB">
        <w:rPr>
          <w:rStyle w:val="Fort"/>
          <w:rFonts w:ascii="Arial" w:hAnsi="Arial" w:cs="Arial"/>
          <w:b w:val="0"/>
        </w:rPr>
        <w:t>Le FRNG = ressources stables- Emplois stables.</w:t>
      </w:r>
    </w:p>
    <w:p w:rsidR="003654FB" w:rsidRDefault="003654FB" w:rsidP="003654FB">
      <w:pPr>
        <w:jc w:val="both"/>
        <w:rPr>
          <w:rFonts w:ascii="Arial" w:hAnsi="Arial" w:cs="Arial"/>
        </w:rPr>
      </w:pPr>
      <w:r w:rsidRPr="008F2669">
        <w:rPr>
          <w:rFonts w:ascii="Arial" w:hAnsi="Arial" w:cs="Arial"/>
        </w:rPr>
        <w:t xml:space="preserve">Un </w:t>
      </w:r>
      <w:r w:rsidRPr="009C2425">
        <w:rPr>
          <w:rFonts w:ascii="Arial" w:hAnsi="Arial" w:cs="Arial"/>
          <w:u w:val="single"/>
        </w:rPr>
        <w:t>FRNG positif</w:t>
      </w:r>
      <w:r w:rsidRPr="008F2669">
        <w:rPr>
          <w:rFonts w:ascii="Arial" w:hAnsi="Arial" w:cs="Arial"/>
        </w:rPr>
        <w:t xml:space="preserve"> correspond à un excédent de ressources stables sur les emplois stables.</w:t>
      </w:r>
    </w:p>
    <w:p w:rsidR="003654FB" w:rsidRDefault="003654FB" w:rsidP="003654FB">
      <w:pPr>
        <w:ind w:firstLine="708"/>
        <w:jc w:val="both"/>
        <w:rPr>
          <w:rFonts w:ascii="Arial" w:hAnsi="Arial" w:cs="Arial"/>
        </w:rPr>
      </w:pPr>
      <w:r w:rsidRPr="008F2669">
        <w:rPr>
          <w:rFonts w:ascii="Arial" w:hAnsi="Arial" w:cs="Arial"/>
        </w:rPr>
        <w:t>Il peut être utilisé pour financer des éléments d’exploit</w:t>
      </w:r>
      <w:r>
        <w:rPr>
          <w:rFonts w:ascii="Arial" w:hAnsi="Arial" w:cs="Arial"/>
        </w:rPr>
        <w:t>ation, et notamment les stocks.</w:t>
      </w:r>
    </w:p>
    <w:p w:rsidR="003654FB" w:rsidRDefault="003654FB" w:rsidP="003654FB">
      <w:pPr>
        <w:jc w:val="both"/>
        <w:rPr>
          <w:rFonts w:ascii="Arial" w:hAnsi="Arial" w:cs="Arial"/>
        </w:rPr>
      </w:pPr>
      <w:r w:rsidRPr="008F2669">
        <w:rPr>
          <w:rFonts w:ascii="Arial" w:hAnsi="Arial" w:cs="Arial"/>
        </w:rPr>
        <w:t xml:space="preserve">Un </w:t>
      </w:r>
      <w:r w:rsidRPr="009C2425">
        <w:rPr>
          <w:rFonts w:ascii="Arial" w:hAnsi="Arial" w:cs="Arial"/>
          <w:u w:val="single"/>
        </w:rPr>
        <w:t>FRNG négatif</w:t>
      </w:r>
      <w:r w:rsidRPr="008F2669">
        <w:rPr>
          <w:rFonts w:ascii="Arial" w:hAnsi="Arial" w:cs="Arial"/>
        </w:rPr>
        <w:t xml:space="preserve"> indique que les ressources stables ne financent pas les emplois stables.</w:t>
      </w:r>
    </w:p>
    <w:p w:rsidR="003654FB" w:rsidRPr="008F2669" w:rsidRDefault="003654FB" w:rsidP="003654FB">
      <w:pPr>
        <w:ind w:firstLine="708"/>
        <w:jc w:val="both"/>
        <w:rPr>
          <w:rFonts w:ascii="Arial" w:hAnsi="Arial" w:cs="Arial"/>
        </w:rPr>
      </w:pPr>
      <w:r w:rsidRPr="008F2669">
        <w:rPr>
          <w:rFonts w:ascii="Arial" w:hAnsi="Arial" w:cs="Arial"/>
        </w:rPr>
        <w:t>Cette situation n’est pas  jugée saine pour les équilibres financiers de l’entreprise.</w:t>
      </w:r>
    </w:p>
    <w:p w:rsidR="003654FB" w:rsidRPr="008F2669" w:rsidRDefault="003654FB" w:rsidP="003654FB">
      <w:pPr>
        <w:jc w:val="both"/>
        <w:rPr>
          <w:rFonts w:ascii="Arial" w:hAnsi="Arial" w:cs="Arial"/>
        </w:rPr>
      </w:pPr>
    </w:p>
    <w:p w:rsidR="003654FB" w:rsidRDefault="003654FB" w:rsidP="003654FB">
      <w:pPr>
        <w:ind w:firstLine="708"/>
        <w:jc w:val="both"/>
        <w:rPr>
          <w:rFonts w:ascii="Arial" w:hAnsi="Arial" w:cs="Arial"/>
        </w:rPr>
      </w:pPr>
      <w:r>
        <w:rPr>
          <w:rFonts w:ascii="Arial" w:hAnsi="Arial" w:cs="Arial"/>
        </w:rPr>
        <w:t xml:space="preserve">- </w:t>
      </w:r>
      <w:r w:rsidRPr="009C2425">
        <w:rPr>
          <w:rFonts w:ascii="Arial" w:hAnsi="Arial" w:cs="Arial"/>
          <w:u w:val="single"/>
        </w:rPr>
        <w:t>La partie basse du bilan fonctionnel</w:t>
      </w:r>
      <w:r w:rsidRPr="008F2669">
        <w:rPr>
          <w:rFonts w:ascii="Arial" w:hAnsi="Arial" w:cs="Arial"/>
        </w:rPr>
        <w:t xml:space="preserve"> est analysée en comparant actifs et passifs circulants afin d'obtenir le </w:t>
      </w:r>
      <w:r w:rsidRPr="009C2425">
        <w:rPr>
          <w:rFonts w:ascii="Arial" w:hAnsi="Arial" w:cs="Arial"/>
          <w:u w:val="single"/>
        </w:rPr>
        <w:t>besoin en fonds de roulement</w:t>
      </w:r>
      <w:r>
        <w:rPr>
          <w:rFonts w:ascii="Arial" w:hAnsi="Arial" w:cs="Arial"/>
        </w:rPr>
        <w:t xml:space="preserve"> ou BFR.</w:t>
      </w:r>
    </w:p>
    <w:p w:rsidR="003654FB" w:rsidRDefault="003654FB" w:rsidP="003654FB">
      <w:pPr>
        <w:jc w:val="both"/>
        <w:rPr>
          <w:rFonts w:ascii="Arial" w:hAnsi="Arial" w:cs="Arial"/>
        </w:rPr>
      </w:pPr>
      <w:r w:rsidRPr="008F2669">
        <w:rPr>
          <w:rFonts w:ascii="Arial" w:hAnsi="Arial" w:cs="Arial"/>
        </w:rPr>
        <w:t>En effet, l’exploitation de l’entreprise nécessite des fonds (un besoin de financement) pour détenir des stocks, accorder des cré</w:t>
      </w:r>
      <w:r>
        <w:rPr>
          <w:rFonts w:ascii="Arial" w:hAnsi="Arial" w:cs="Arial"/>
        </w:rPr>
        <w:t xml:space="preserve">dits commerciaux aux clients. </w:t>
      </w:r>
      <w:r w:rsidRPr="008F2669">
        <w:rPr>
          <w:rFonts w:ascii="Arial" w:hAnsi="Arial" w:cs="Arial"/>
        </w:rPr>
        <w:t>Inversement l’entreprise peut essayer de négocier des délais de paiement pour ses fournisseurs et paie ses dettes fiscales le mois qui suit celui où elles sont exigées. Le besoin en fonds de roulement est donc la différence entre le besoin causé par l’exploitation et les ressources dégagées par l’exploitation ou encore</w:t>
      </w:r>
      <w:r>
        <w:rPr>
          <w:rFonts w:ascii="Arial" w:hAnsi="Arial" w:cs="Arial"/>
        </w:rPr>
        <w:t> :</w:t>
      </w:r>
    </w:p>
    <w:p w:rsidR="003654FB" w:rsidRPr="008F2669" w:rsidRDefault="003654FB" w:rsidP="003654FB">
      <w:pPr>
        <w:jc w:val="both"/>
        <w:rPr>
          <w:rFonts w:ascii="Arial" w:hAnsi="Arial" w:cs="Arial"/>
        </w:rPr>
      </w:pPr>
      <w:r w:rsidRPr="008F2669">
        <w:rPr>
          <w:rFonts w:ascii="Arial" w:hAnsi="Arial" w:cs="Arial"/>
        </w:rPr>
        <w:t>BFR</w:t>
      </w:r>
      <w:r>
        <w:rPr>
          <w:rFonts w:ascii="Arial" w:hAnsi="Arial" w:cs="Arial"/>
        </w:rPr>
        <w:t xml:space="preserve"> </w:t>
      </w:r>
      <w:r w:rsidRPr="008F2669">
        <w:rPr>
          <w:rFonts w:ascii="Arial" w:hAnsi="Arial" w:cs="Arial"/>
        </w:rPr>
        <w:t>= actif circulant hors trésorerie</w:t>
      </w:r>
      <w:r>
        <w:rPr>
          <w:rFonts w:ascii="Arial" w:hAnsi="Arial" w:cs="Arial"/>
        </w:rPr>
        <w:t xml:space="preserve"> </w:t>
      </w:r>
      <w:r w:rsidRPr="008F2669">
        <w:rPr>
          <w:rFonts w:ascii="Arial" w:hAnsi="Arial" w:cs="Arial"/>
        </w:rPr>
        <w:t>- passif circulant hors concours bancaire (découvert).</w:t>
      </w:r>
    </w:p>
    <w:p w:rsidR="003654FB" w:rsidRPr="008F2669" w:rsidRDefault="003654FB" w:rsidP="003654FB">
      <w:pPr>
        <w:jc w:val="both"/>
        <w:rPr>
          <w:rFonts w:ascii="Arial" w:hAnsi="Arial" w:cs="Arial"/>
        </w:rPr>
      </w:pPr>
      <w:r w:rsidRPr="008F2669">
        <w:rPr>
          <w:rFonts w:ascii="Arial" w:hAnsi="Arial" w:cs="Arial"/>
        </w:rPr>
        <w:t>On comprend logiquement que si le BFR est supérieur au FRNG</w:t>
      </w:r>
      <w:r>
        <w:rPr>
          <w:rFonts w:ascii="Arial" w:hAnsi="Arial" w:cs="Arial"/>
        </w:rPr>
        <w:t>,</w:t>
      </w:r>
      <w:r w:rsidRPr="008F2669">
        <w:rPr>
          <w:rFonts w:ascii="Arial" w:hAnsi="Arial" w:cs="Arial"/>
        </w:rPr>
        <w:t xml:space="preserve"> l’entreprise devra utiliser le découvert. Pour ne pas tomber dans cet extrême, l’entreprise peut réduire ses stocks, ne pas accorder de crédits sur les ventes, et négocier des délais avec les fournisseurs plus longs.</w:t>
      </w:r>
    </w:p>
    <w:p w:rsidR="003654FB" w:rsidRDefault="003654FB" w:rsidP="003654FB">
      <w:pPr>
        <w:jc w:val="both"/>
        <w:rPr>
          <w:rFonts w:ascii="Arial" w:hAnsi="Arial" w:cs="Arial"/>
        </w:rPr>
      </w:pPr>
    </w:p>
    <w:p w:rsidR="00963849" w:rsidRDefault="007A07CC" w:rsidP="003654FB"/>
    <w:sectPr w:rsidR="00963849" w:rsidSect="008B31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0467A"/>
    <w:multiLevelType w:val="hybridMultilevel"/>
    <w:tmpl w:val="49584CA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D27E5D"/>
    <w:multiLevelType w:val="hybridMultilevel"/>
    <w:tmpl w:val="3ED498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9E14D1"/>
    <w:multiLevelType w:val="hybridMultilevel"/>
    <w:tmpl w:val="894CC5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54FB"/>
    <w:rsid w:val="003654FB"/>
    <w:rsid w:val="00493295"/>
    <w:rsid w:val="005942FB"/>
    <w:rsid w:val="007A07CC"/>
    <w:rsid w:val="008B31E8"/>
    <w:rsid w:val="00AB4B06"/>
    <w:rsid w:val="00B16E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34"/>
        <o:r id="V:Rule3" type="connector" idref="#_x0000_s1030"/>
        <o:r id="V:Rule4" type="connector" idref="#_x0000_s1031"/>
        <o:r id="V:Rule5" type="connector" idref="#_x0000_s1029"/>
        <o:r id="V:Rule6" type="connector" idref="#_x0000_s1027"/>
        <o:r id="V:Rule7" type="connector" idref="#_x0000_s1028"/>
        <o:r id="V:Rule8" type="connector" idref="#_x0000_s1033"/>
        <o:r id="V:Rule9"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FB"/>
    <w:pPr>
      <w:spacing w:line="240" w:lineRule="auto"/>
      <w:jc w:val="left"/>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54FB"/>
    <w:pPr>
      <w:ind w:left="720"/>
      <w:contextualSpacing/>
    </w:pPr>
  </w:style>
  <w:style w:type="character" w:customStyle="1" w:styleId="Fort">
    <w:name w:val="Fort"/>
    <w:rsid w:val="003654FB"/>
    <w:rPr>
      <w:rFonts w:ascii="Times New Roman" w:hAnsi="Times New Roman"/>
      <w:b/>
      <w:color w:val="auto"/>
      <w:spacing w:val="0"/>
      <w:sz w:val="24"/>
    </w:rPr>
  </w:style>
  <w:style w:type="paragraph" w:customStyle="1" w:styleId="Textepardfaut">
    <w:name w:val="Texte par défaut"/>
    <w:basedOn w:val="Normal"/>
    <w:rsid w:val="003654FB"/>
    <w:pPr>
      <w:overflowPunct w:val="0"/>
      <w:autoSpaceDE w:val="0"/>
      <w:autoSpaceDN w:val="0"/>
      <w:adjustRightInd w:val="0"/>
      <w:textAlignment w:val="baseline"/>
    </w:pPr>
    <w:rPr>
      <w:rFonts w:ascii="Times New Roman" w:eastAsia="Times New Roman" w:hAnsi="Times New Roman"/>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5210</Characters>
  <Application>Microsoft Office Word</Application>
  <DocSecurity>0</DocSecurity>
  <Lines>43</Lines>
  <Paragraphs>12</Paragraphs>
  <ScaleCrop>false</ScaleCrop>
  <Company>Sweet</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1</cp:revision>
  <dcterms:created xsi:type="dcterms:W3CDTF">2009-03-24T20:50:00Z</dcterms:created>
  <dcterms:modified xsi:type="dcterms:W3CDTF">2009-03-24T20:53:00Z</dcterms:modified>
</cp:coreProperties>
</file>