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9D" w:rsidRPr="00CE66F6" w:rsidRDefault="0040399D" w:rsidP="0040399D">
      <w:pPr>
        <w:rPr>
          <w:rFonts w:asciiTheme="majorBidi" w:hAnsiTheme="majorBidi" w:cstheme="majorBidi"/>
        </w:rPr>
      </w:pPr>
    </w:p>
    <w:p w:rsidR="0040399D" w:rsidRDefault="0040399D" w:rsidP="0040399D">
      <w:pPr>
        <w:jc w:val="right"/>
        <w:rPr>
          <w:color w:val="7F7F7F"/>
          <w:sz w:val="32"/>
          <w:szCs w:val="32"/>
        </w:rPr>
      </w:pPr>
      <w:r w:rsidRPr="00F84A6B">
        <w:rPr>
          <w:noProof/>
          <w:color w:val="C4BC96"/>
          <w:sz w:val="32"/>
          <w:szCs w:val="32"/>
          <w:lang w:eastAsia="en-US"/>
        </w:rPr>
        <w:pict>
          <v:group id="_x0000_s1026"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40399D" w:rsidRPr="00AE63A8" w:rsidTr="004D66BA">
        <w:tc>
          <w:tcPr>
            <w:tcW w:w="9576" w:type="dxa"/>
          </w:tcPr>
          <w:p w:rsidR="0040399D" w:rsidRPr="00AE63A8" w:rsidRDefault="0040399D" w:rsidP="004D66BA">
            <w:pPr>
              <w:jc w:val="center"/>
              <w:rPr>
                <w:rFonts w:asciiTheme="majorBidi" w:hAnsiTheme="majorBidi" w:cstheme="majorBidi"/>
                <w:b/>
                <w:bCs/>
                <w:i/>
                <w:iCs/>
                <w:color w:val="FFFFFF" w:themeColor="background1"/>
                <w:sz w:val="32"/>
                <w:szCs w:val="32"/>
              </w:rPr>
            </w:pPr>
          </w:p>
          <w:p w:rsidR="0040399D" w:rsidRPr="00AE63A8" w:rsidRDefault="0040399D" w:rsidP="004D66BA">
            <w:pPr>
              <w:jc w:val="center"/>
              <w:rPr>
                <w:rFonts w:asciiTheme="majorBidi" w:hAnsiTheme="majorBidi" w:cstheme="majorBidi"/>
                <w:b/>
                <w:bCs/>
                <w:i/>
                <w:iCs/>
                <w:color w:val="FFFFFF" w:themeColor="background1"/>
                <w:sz w:val="32"/>
                <w:szCs w:val="32"/>
              </w:rPr>
            </w:pPr>
          </w:p>
          <w:p w:rsidR="0040399D" w:rsidRPr="0040399D" w:rsidRDefault="0040399D" w:rsidP="004D66BA">
            <w:pPr>
              <w:jc w:val="center"/>
              <w:rPr>
                <w:rFonts w:asciiTheme="majorBidi" w:hAnsiTheme="majorBidi" w:cstheme="majorBidi"/>
                <w:b/>
                <w:bCs/>
                <w:i/>
                <w:iCs/>
                <w:color w:val="FFFFFF" w:themeColor="background1"/>
                <w:sz w:val="32"/>
                <w:szCs w:val="32"/>
              </w:rPr>
            </w:pPr>
            <w:r w:rsidRPr="0040399D">
              <w:rPr>
                <w:rFonts w:asciiTheme="majorBidi" w:hAnsiTheme="majorBidi" w:cstheme="majorBidi"/>
                <w:b/>
                <w:bCs/>
                <w:i/>
                <w:iCs/>
                <w:color w:val="FFFFFF" w:themeColor="background1"/>
                <w:sz w:val="32"/>
                <w:szCs w:val="32"/>
              </w:rPr>
              <w:t xml:space="preserve">Par l’imam </w:t>
            </w:r>
            <w:r w:rsidRPr="0040399D">
              <w:rPr>
                <w:b/>
                <w:bCs/>
                <w:i/>
                <w:iCs/>
                <w:color w:val="FFFFFF" w:themeColor="background1"/>
                <w:sz w:val="32"/>
                <w:szCs w:val="32"/>
              </w:rPr>
              <w:t>‘Abdoullah Ibn Mouhammed Ibn ‘Abdilwahhâb</w:t>
            </w:r>
          </w:p>
        </w:tc>
      </w:tr>
    </w:tbl>
    <w:p w:rsidR="0040399D" w:rsidRPr="007F136F" w:rsidRDefault="0040399D" w:rsidP="0040399D">
      <w:pPr>
        <w:jc w:val="right"/>
        <w:rPr>
          <w:color w:val="7F7F7F"/>
          <w:sz w:val="32"/>
          <w:szCs w:val="32"/>
        </w:rPr>
      </w:pPr>
    </w:p>
    <w:p w:rsidR="002B1560" w:rsidRDefault="0040399D" w:rsidP="0040399D">
      <w:pPr>
        <w:pStyle w:val="NormalWeb"/>
        <w:spacing w:before="0" w:beforeAutospacing="0" w:after="200" w:afterAutospacing="0"/>
        <w:jc w:val="center"/>
      </w:pPr>
      <w:r w:rsidRPr="00F84A6B">
        <w:rPr>
          <w:noProof/>
          <w:color w:val="C4BC96"/>
          <w:sz w:val="32"/>
          <w:szCs w:val="32"/>
          <w:lang w:eastAsia="en-US"/>
        </w:rPr>
        <w:pict>
          <v:rect id="_x0000_s1029" style="position:absolute;left:0;text-align:left;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40399D" w:rsidTr="00855F53">
                    <w:trPr>
                      <w:trHeight w:val="1080"/>
                    </w:trPr>
                    <w:tc>
                      <w:tcPr>
                        <w:tcW w:w="1000" w:type="pct"/>
                        <w:shd w:val="clear" w:color="auto" w:fill="000000"/>
                        <w:vAlign w:val="center"/>
                      </w:tcPr>
                      <w:p w:rsidR="0040399D" w:rsidRPr="00C20D4E" w:rsidRDefault="0040399D" w:rsidP="00CB7712">
                        <w:pPr>
                          <w:jc w:val="center"/>
                          <w:rPr>
                            <w:smallCaps/>
                            <w:sz w:val="40"/>
                            <w:szCs w:val="40"/>
                          </w:rPr>
                        </w:pPr>
                        <w:r>
                          <w:rPr>
                            <w:smallCaps/>
                            <w:noProof/>
                            <w:sz w:val="40"/>
                            <w:szCs w:val="40"/>
                          </w:rPr>
                          <w:drawing>
                            <wp:inline distT="0" distB="0" distL="0" distR="0">
                              <wp:extent cx="1270000" cy="965200"/>
                              <wp:effectExtent l="19050" t="0" r="6350" b="0"/>
                              <wp:docPr id="2"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hahada"/>
                                      <pic:cNvPicPr>
                                        <a:picLocks noChangeAspect="1" noChangeArrowheads="1"/>
                                      </pic:cNvPicPr>
                                    </pic:nvPicPr>
                                    <pic:blipFill>
                                      <a:blip r:embed="rId7"/>
                                      <a:srcRect/>
                                      <a:stretch>
                                        <a:fillRect/>
                                      </a:stretch>
                                    </pic:blipFill>
                                    <pic:spPr bwMode="auto">
                                      <a:xfrm>
                                        <a:off x="0" y="0"/>
                                        <a:ext cx="1270000" cy="965200"/>
                                      </a:xfrm>
                                      <a:prstGeom prst="rect">
                                        <a:avLst/>
                                      </a:prstGeom>
                                      <a:noFill/>
                                      <a:ln w="9525">
                                        <a:noFill/>
                                        <a:miter lim="800000"/>
                                        <a:headEnd/>
                                        <a:tailEnd/>
                                      </a:ln>
                                    </pic:spPr>
                                  </pic:pic>
                                </a:graphicData>
                              </a:graphic>
                            </wp:inline>
                          </w:drawing>
                        </w:r>
                      </w:p>
                    </w:tc>
                    <w:tc>
                      <w:tcPr>
                        <w:tcW w:w="4000" w:type="pct"/>
                        <w:shd w:val="clear" w:color="auto" w:fill="auto"/>
                        <w:vAlign w:val="center"/>
                      </w:tcPr>
                      <w:p w:rsidR="0040399D" w:rsidRPr="0040399D" w:rsidRDefault="0040399D" w:rsidP="00355EC9">
                        <w:pPr>
                          <w:widowControl w:val="0"/>
                          <w:adjustRightInd w:val="0"/>
                          <w:spacing w:after="100"/>
                          <w:rPr>
                            <w:b/>
                            <w:bCs/>
                            <w:color w:val="FFFFFF"/>
                            <w:sz w:val="56"/>
                            <w:szCs w:val="56"/>
                          </w:rPr>
                        </w:pPr>
                        <w:r w:rsidRPr="0040399D">
                          <w:rPr>
                            <w:b/>
                            <w:bCs/>
                            <w:sz w:val="56"/>
                            <w:szCs w:val="56"/>
                          </w:rPr>
                          <w:t>Le statut des Chiites Rafida (duodécimaines)</w:t>
                        </w:r>
                      </w:p>
                    </w:tc>
                  </w:tr>
                </w:tbl>
                <w:p w:rsidR="0040399D" w:rsidRDefault="0040399D" w:rsidP="0040399D">
                  <w:pPr>
                    <w:pStyle w:val="Sansinterligne"/>
                    <w:spacing w:line="14" w:lineRule="exact"/>
                  </w:pPr>
                </w:p>
              </w:txbxContent>
            </v:textbox>
            <w10:wrap anchorx="page" anchory="page"/>
          </v:rect>
        </w:pict>
      </w:r>
      <w:r w:rsidRPr="007F136F">
        <w:br w:type="page"/>
      </w:r>
    </w:p>
    <w:p w:rsidR="00A45870" w:rsidRDefault="00A45870" w:rsidP="00A45870">
      <w:pPr>
        <w:pStyle w:val="NormalWeb"/>
        <w:spacing w:before="0" w:beforeAutospacing="0" w:after="200" w:afterAutospacing="0"/>
        <w:jc w:val="center"/>
      </w:pPr>
      <w:r>
        <w:rPr>
          <w:noProof/>
        </w:rPr>
        <w:lastRenderedPageBreak/>
        <w:drawing>
          <wp:inline distT="0" distB="0" distL="0" distR="0">
            <wp:extent cx="2047875" cy="1438275"/>
            <wp:effectExtent l="19050" t="0" r="9525" b="0"/>
            <wp:docPr id="1" name="Image 0" descr="bismill-La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3.jpg"/>
                    <pic:cNvPicPr/>
                  </pic:nvPicPr>
                  <pic:blipFill>
                    <a:blip r:embed="rId8" cstate="print"/>
                    <a:stretch>
                      <a:fillRect/>
                    </a:stretch>
                  </pic:blipFill>
                  <pic:spPr>
                    <a:xfrm>
                      <a:off x="0" y="0"/>
                      <a:ext cx="2047875" cy="1438275"/>
                    </a:xfrm>
                    <a:prstGeom prst="rect">
                      <a:avLst/>
                    </a:prstGeom>
                  </pic:spPr>
                </pic:pic>
              </a:graphicData>
            </a:graphic>
          </wp:inline>
        </w:drawing>
      </w:r>
    </w:p>
    <w:p w:rsidR="00A45870" w:rsidRDefault="00A45870" w:rsidP="00A45870">
      <w:pPr>
        <w:pStyle w:val="Sansinterligne"/>
        <w:rPr>
          <w:rStyle w:val="Accentuation"/>
          <w:b/>
          <w:bCs/>
          <w:i w:val="0"/>
          <w:iCs w:val="0"/>
        </w:rPr>
      </w:pPr>
      <w:r w:rsidRPr="00A45870">
        <w:rPr>
          <w:rStyle w:val="Accentuation"/>
          <w:b/>
          <w:bCs/>
          <w:i w:val="0"/>
          <w:iCs w:val="0"/>
          <w:u w:val="single"/>
        </w:rPr>
        <w:t>Avant-propos</w:t>
      </w:r>
      <w:r w:rsidRPr="00A45870">
        <w:rPr>
          <w:rStyle w:val="Accentuation"/>
          <w:b/>
          <w:bCs/>
          <w:i w:val="0"/>
          <w:iCs w:val="0"/>
        </w:rPr>
        <w:t> :</w:t>
      </w:r>
    </w:p>
    <w:p w:rsidR="00A45870" w:rsidRPr="00A45870" w:rsidRDefault="00A45870" w:rsidP="00A45870">
      <w:pPr>
        <w:pStyle w:val="Sansinterligne"/>
        <w:rPr>
          <w:rStyle w:val="Accentuation"/>
          <w:b/>
          <w:bCs/>
          <w:i w:val="0"/>
          <w:iCs w:val="0"/>
        </w:rPr>
      </w:pPr>
    </w:p>
    <w:p w:rsidR="00A45870" w:rsidRDefault="002B1560" w:rsidP="0040399D">
      <w:pPr>
        <w:pStyle w:val="Sansinterligne"/>
      </w:pPr>
      <w:r w:rsidRPr="00A45870">
        <w:t>Le Cheykh ‘Abdoullah le fils de Mouhammed Ibn ‘Abdilwahhâb a été interroger concernant le statut des Rafida (les chiites) ainsi que sur le statut de celui qui dit que la personne qui prononce l’attestation de foi (</w:t>
      </w:r>
      <w:proofErr w:type="spellStart"/>
      <w:r w:rsidRPr="00A45870">
        <w:t>Chahâdatayn</w:t>
      </w:r>
      <w:proofErr w:type="spellEnd"/>
      <w:r w:rsidRPr="00A45870">
        <w:t xml:space="preserve">) ne peut être excommunié quoi qu’il fasse. </w:t>
      </w:r>
    </w:p>
    <w:p w:rsidR="00A45870" w:rsidRPr="00A45870" w:rsidRDefault="00A45870" w:rsidP="00A45870">
      <w:pPr>
        <w:pStyle w:val="Sansinterligne"/>
      </w:pPr>
    </w:p>
    <w:p w:rsidR="00A45870" w:rsidRPr="00A45870" w:rsidRDefault="00A45870" w:rsidP="00A45870">
      <w:pPr>
        <w:pStyle w:val="Sansinterligne"/>
      </w:pPr>
      <w:r w:rsidRPr="00A45870">
        <w:rPr>
          <w:rStyle w:val="Accentuation"/>
          <w:i w:val="0"/>
          <w:iCs w:val="0"/>
        </w:rPr>
        <w:t xml:space="preserve">Cette fatwa nous enseigne aussi comment les anciens savants appliquaient la troisième annulation de l’Islam : « Celui qui ne rend pas mécréant les </w:t>
      </w:r>
      <w:proofErr w:type="spellStart"/>
      <w:r w:rsidRPr="00A45870">
        <w:rPr>
          <w:rStyle w:val="Accentuation"/>
          <w:i w:val="0"/>
          <w:iCs w:val="0"/>
        </w:rPr>
        <w:t>associateurs</w:t>
      </w:r>
      <w:proofErr w:type="spellEnd"/>
      <w:r w:rsidRPr="00A45870">
        <w:rPr>
          <w:rStyle w:val="Accentuation"/>
          <w:i w:val="0"/>
          <w:iCs w:val="0"/>
        </w:rPr>
        <w:t xml:space="preserve"> ou doute de leur mécréance ou justifie leur croyance est un mécréant à l’unanimité ».</w:t>
      </w:r>
      <w:r w:rsidRPr="00A45870">
        <w:t xml:space="preserve"> </w:t>
      </w:r>
    </w:p>
    <w:p w:rsidR="002B1560" w:rsidRPr="00A45870" w:rsidRDefault="002B1560" w:rsidP="00A45870">
      <w:pPr>
        <w:pStyle w:val="Sansinterligne"/>
      </w:pPr>
    </w:p>
    <w:p w:rsidR="002B1560" w:rsidRPr="00A45870" w:rsidRDefault="002B1560" w:rsidP="00A45870">
      <w:pPr>
        <w:pStyle w:val="Sansinterligne"/>
      </w:pPr>
      <w:r w:rsidRPr="00A45870">
        <w:t xml:space="preserve">  </w:t>
      </w:r>
    </w:p>
    <w:p w:rsidR="002B1560" w:rsidRPr="00A45870" w:rsidRDefault="002B1560" w:rsidP="00A45870">
      <w:pPr>
        <w:pStyle w:val="Sansinterligne"/>
        <w:rPr>
          <w:b/>
          <w:bCs/>
        </w:rPr>
      </w:pPr>
      <w:r w:rsidRPr="00A45870">
        <w:rPr>
          <w:b/>
          <w:bCs/>
        </w:rPr>
        <w:t>1)</w:t>
      </w:r>
      <w:r w:rsidRPr="00A45870">
        <w:rPr>
          <w:b/>
          <w:bCs/>
          <w:sz w:val="14"/>
          <w:szCs w:val="14"/>
        </w:rPr>
        <w:t>     </w:t>
      </w:r>
      <w:r w:rsidRPr="00A45870">
        <w:rPr>
          <w:b/>
          <w:bCs/>
        </w:rPr>
        <w:t xml:space="preserve"> </w:t>
      </w:r>
      <w:r w:rsidRPr="00A45870">
        <w:rPr>
          <w:b/>
          <w:bCs/>
          <w:u w:val="single"/>
        </w:rPr>
        <w:t>Réponse du Cheykh ‘Abdoullah, qu’Allah le comble de sa miséricorde</w:t>
      </w:r>
      <w:r w:rsidRPr="00A45870">
        <w:rPr>
          <w:b/>
          <w:bCs/>
        </w:rPr>
        <w:t xml:space="preserve"> : </w:t>
      </w:r>
    </w:p>
    <w:p w:rsidR="00A45870" w:rsidRPr="00A45870" w:rsidRDefault="00A45870" w:rsidP="00A45870">
      <w:pPr>
        <w:pStyle w:val="Sansinterligne"/>
      </w:pPr>
    </w:p>
    <w:p w:rsidR="002B1560" w:rsidRDefault="002B1560" w:rsidP="00A45870">
      <w:pPr>
        <w:pStyle w:val="Sansinterligne"/>
      </w:pPr>
      <w:r w:rsidRPr="00A45870">
        <w:t>Ar-Rafida est l’origine de ces groupes, parmi eux, il y a ceux qu’on nomme « </w:t>
      </w:r>
      <w:r w:rsidRPr="00A45870">
        <w:rPr>
          <w:i/>
          <w:iCs/>
        </w:rPr>
        <w:t xml:space="preserve">al </w:t>
      </w:r>
      <w:proofErr w:type="spellStart"/>
      <w:r w:rsidRPr="00A45870">
        <w:rPr>
          <w:i/>
          <w:iCs/>
        </w:rPr>
        <w:t>moufaddala</w:t>
      </w:r>
      <w:proofErr w:type="spellEnd"/>
      <w:r w:rsidRPr="00A45870">
        <w:t xml:space="preserve"> » pour leur préférence de ‘Ali, qu’Allah l’agrée, sur le reste des compagnons qu’Allah les agrée, ceux-là ne maudissent pas les compagnons. </w:t>
      </w:r>
    </w:p>
    <w:p w:rsidR="00A45870" w:rsidRPr="00A45870" w:rsidRDefault="00A45870" w:rsidP="00A45870">
      <w:pPr>
        <w:pStyle w:val="Sansinterligne"/>
      </w:pPr>
    </w:p>
    <w:p w:rsidR="002B1560" w:rsidRDefault="002B1560" w:rsidP="00A45870">
      <w:pPr>
        <w:pStyle w:val="Sansinterligne"/>
      </w:pPr>
      <w:r w:rsidRPr="00A45870">
        <w:t>Et un autre groupe parmi eux prétende que Jibril, paix soit sur lui, s’est trompé dans la transmission de la révélation, il n’y a aucun doute</w:t>
      </w:r>
      <w:r w:rsidR="00A45870">
        <w:t xml:space="preserve"> de la mécréance de ce groupe.</w:t>
      </w:r>
      <w:r w:rsidR="00A45870">
        <w:rPr>
          <w:rStyle w:val="Appelnotedebasdep"/>
        </w:rPr>
        <w:footnoteReference w:id="1"/>
      </w:r>
      <w:r w:rsidRPr="00A45870">
        <w:t xml:space="preserve"> </w:t>
      </w:r>
    </w:p>
    <w:p w:rsidR="00A45870" w:rsidRPr="00A45870" w:rsidRDefault="00A45870" w:rsidP="00A45870">
      <w:pPr>
        <w:pStyle w:val="Sansinterligne"/>
      </w:pPr>
    </w:p>
    <w:p w:rsidR="002B1560" w:rsidRPr="00A45870" w:rsidRDefault="002B1560" w:rsidP="00A45870">
      <w:pPr>
        <w:pStyle w:val="Sansinterligne"/>
      </w:pPr>
      <w:r w:rsidRPr="00A45870">
        <w:t xml:space="preserve">Mais la plupart d’entre eux (les </w:t>
      </w:r>
      <w:proofErr w:type="spellStart"/>
      <w:r w:rsidRPr="00A45870">
        <w:t>rawafids</w:t>
      </w:r>
      <w:proofErr w:type="spellEnd"/>
      <w:r w:rsidRPr="00A45870">
        <w:t xml:space="preserve">), à la base croient au message du prophète, que la paix et les prières d’Allah soit sur lui, mais ils prétendent que le Califat revient à ‘Ali et ils maudissent la plupart des compagnons, qu’Allah les agrée, et les traitent de pervers. </w:t>
      </w:r>
    </w:p>
    <w:p w:rsidR="002B1560" w:rsidRDefault="002B1560" w:rsidP="00A45870">
      <w:pPr>
        <w:pStyle w:val="Sansinterligne"/>
      </w:pPr>
      <w:r w:rsidRPr="00A45870">
        <w:t xml:space="preserve">Nous allons rappeler ce qu’a dit le Cheykh </w:t>
      </w:r>
      <w:proofErr w:type="spellStart"/>
      <w:r w:rsidRPr="00A45870">
        <w:t>Taqqi</w:t>
      </w:r>
      <w:proofErr w:type="spellEnd"/>
      <w:r w:rsidRPr="00A45870">
        <w:t>-ad-</w:t>
      </w:r>
      <w:proofErr w:type="spellStart"/>
      <w:r w:rsidRPr="00A45870">
        <w:t>din</w:t>
      </w:r>
      <w:proofErr w:type="spellEnd"/>
      <w:r w:rsidRPr="00A45870">
        <w:t xml:space="preserve"> Ibn </w:t>
      </w:r>
      <w:proofErr w:type="spellStart"/>
      <w:r w:rsidRPr="00A45870">
        <w:t>Taymiyya</w:t>
      </w:r>
      <w:proofErr w:type="spellEnd"/>
      <w:r w:rsidRPr="00A45870">
        <w:t>, qu’Allah lui fasse miséricorde, sur leur statut dans « </w:t>
      </w:r>
      <w:proofErr w:type="spellStart"/>
      <w:r w:rsidRPr="00A45870">
        <w:t>Sarim</w:t>
      </w:r>
      <w:proofErr w:type="spellEnd"/>
      <w:r w:rsidRPr="00A45870">
        <w:t xml:space="preserve"> al </w:t>
      </w:r>
      <w:proofErr w:type="spellStart"/>
      <w:r w:rsidRPr="00A45870">
        <w:t>Masloul</w:t>
      </w:r>
      <w:proofErr w:type="spellEnd"/>
      <w:r w:rsidRPr="00A45870">
        <w:t xml:space="preserve"> » il dit : </w:t>
      </w:r>
    </w:p>
    <w:p w:rsidR="00A45870" w:rsidRPr="00A45870" w:rsidRDefault="00A45870" w:rsidP="00A45870">
      <w:pPr>
        <w:pStyle w:val="Sansinterligne"/>
      </w:pPr>
    </w:p>
    <w:p w:rsidR="002B1560" w:rsidRPr="00A45870" w:rsidRDefault="002B1560" w:rsidP="00A45870">
      <w:pPr>
        <w:pStyle w:val="Sansinterligne"/>
        <w:rPr>
          <w:b/>
          <w:bCs/>
          <w:color w:val="00B050"/>
        </w:rPr>
      </w:pPr>
      <w:r w:rsidRPr="00A45870">
        <w:t>« </w:t>
      </w:r>
      <w:r w:rsidRPr="00A45870">
        <w:rPr>
          <w:rStyle w:val="Accentuation"/>
          <w:b/>
          <w:bCs/>
          <w:i w:val="0"/>
          <w:iCs w:val="0"/>
          <w:color w:val="00B050"/>
        </w:rPr>
        <w:t xml:space="preserve">Celui qui insulte les compagnons ou un seul parmi eu en ajoutant à cela que ‘Ali est une divinité ou un prophète et que Jibril s’est trompé, </w:t>
      </w:r>
      <w:r w:rsidRPr="00A45870">
        <w:rPr>
          <w:rStyle w:val="Accentuation"/>
          <w:b/>
          <w:bCs/>
          <w:i w:val="0"/>
          <w:iCs w:val="0"/>
          <w:color w:val="00B050"/>
          <w:u w:val="single"/>
        </w:rPr>
        <w:t>il n’y a aucun doute de sa mécréance et bien plus encore, il n’y a pas de doute non plus sur celui qui s’abstient de l’excommunier</w:t>
      </w:r>
      <w:r w:rsidRPr="00A45870">
        <w:rPr>
          <w:rStyle w:val="Accentuation"/>
          <w:b/>
          <w:bCs/>
          <w:i w:val="0"/>
          <w:iCs w:val="0"/>
          <w:color w:val="00B050"/>
        </w:rPr>
        <w:t> ; ainsi que celui qui calomnie ‘</w:t>
      </w:r>
      <w:proofErr w:type="spellStart"/>
      <w:r w:rsidRPr="00A45870">
        <w:rPr>
          <w:rStyle w:val="Accentuation"/>
          <w:b/>
          <w:bCs/>
          <w:i w:val="0"/>
          <w:iCs w:val="0"/>
          <w:color w:val="00B050"/>
        </w:rPr>
        <w:t>Aycha</w:t>
      </w:r>
      <w:proofErr w:type="spellEnd"/>
      <w:r w:rsidRPr="00A45870">
        <w:rPr>
          <w:rStyle w:val="Accentuation"/>
          <w:b/>
          <w:bCs/>
          <w:i w:val="0"/>
          <w:iCs w:val="0"/>
          <w:color w:val="00B050"/>
        </w:rPr>
        <w:t>, qu’Allah l’agrée, alors qu’Allah l’a innocenté dans le Coran, celui-là a mécru aussi dans divergence.</w:t>
      </w:r>
      <w:r w:rsidRPr="00A45870">
        <w:rPr>
          <w:b/>
          <w:bCs/>
          <w:color w:val="00B050"/>
        </w:rPr>
        <w:t xml:space="preserve"> </w:t>
      </w:r>
    </w:p>
    <w:p w:rsidR="00A45870" w:rsidRPr="00A45870" w:rsidRDefault="00A45870" w:rsidP="00A45870">
      <w:pPr>
        <w:pStyle w:val="Sansinterligne"/>
        <w:rPr>
          <w:b/>
          <w:bCs/>
          <w:color w:val="00B050"/>
        </w:rPr>
      </w:pPr>
    </w:p>
    <w:p w:rsidR="002B1560" w:rsidRPr="00A45870" w:rsidRDefault="002B1560" w:rsidP="00A45870">
      <w:pPr>
        <w:pStyle w:val="Sansinterligne"/>
        <w:rPr>
          <w:b/>
          <w:bCs/>
          <w:color w:val="00B050"/>
        </w:rPr>
      </w:pPr>
      <w:r w:rsidRPr="00A45870">
        <w:rPr>
          <w:rStyle w:val="Accentuation"/>
          <w:b/>
          <w:bCs/>
          <w:i w:val="0"/>
          <w:iCs w:val="0"/>
          <w:color w:val="00B050"/>
        </w:rPr>
        <w:t>Quant au fait de maudire et d’injurier- c’est-à-dire maudire les compagnons- qu’Allah les agrée, il y a divergence. Devient t-il pervers ou mécréant ?</w:t>
      </w:r>
      <w:r w:rsidRPr="00A45870">
        <w:rPr>
          <w:b/>
          <w:bCs/>
          <w:color w:val="00B050"/>
        </w:rPr>
        <w:t xml:space="preserve"> </w:t>
      </w:r>
    </w:p>
    <w:p w:rsidR="00A45870" w:rsidRPr="00A45870" w:rsidRDefault="00A45870" w:rsidP="00A45870">
      <w:pPr>
        <w:pStyle w:val="Sansinterligne"/>
        <w:rPr>
          <w:b/>
          <w:bCs/>
          <w:color w:val="00B050"/>
        </w:rPr>
      </w:pPr>
    </w:p>
    <w:p w:rsidR="002B1560" w:rsidRDefault="002B1560" w:rsidP="00A45870">
      <w:pPr>
        <w:pStyle w:val="Sansinterligne"/>
      </w:pPr>
      <w:r w:rsidRPr="00A45870">
        <w:rPr>
          <w:rStyle w:val="Accentuation"/>
          <w:b/>
          <w:bCs/>
          <w:i w:val="0"/>
          <w:iCs w:val="0"/>
          <w:color w:val="00B050"/>
        </w:rPr>
        <w:t xml:space="preserve">L’Imam Ahmed s’est abstenu de faire le </w:t>
      </w:r>
      <w:proofErr w:type="spellStart"/>
      <w:r w:rsidRPr="00A45870">
        <w:rPr>
          <w:rStyle w:val="Accentuation"/>
          <w:b/>
          <w:bCs/>
          <w:i w:val="0"/>
          <w:iCs w:val="0"/>
          <w:color w:val="00B050"/>
        </w:rPr>
        <w:t>tekfir</w:t>
      </w:r>
      <w:proofErr w:type="spellEnd"/>
      <w:r w:rsidRPr="00A45870">
        <w:rPr>
          <w:rStyle w:val="Accentuation"/>
          <w:b/>
          <w:bCs/>
          <w:i w:val="0"/>
          <w:iCs w:val="0"/>
          <w:color w:val="00B050"/>
        </w:rPr>
        <w:t>, il dit : « on doit le châtier et le fouetter et il faut le mettre en prison jusqu’à ce qu’il meurt ou qu’il se repente. »</w:t>
      </w:r>
      <w:r w:rsidR="00A45870">
        <w:rPr>
          <w:rStyle w:val="Accentuation"/>
          <w:i w:val="0"/>
          <w:iCs w:val="0"/>
        </w:rPr>
        <w:t> »</w:t>
      </w:r>
      <w:r w:rsidRPr="00A45870">
        <w:t xml:space="preserve"> </w:t>
      </w:r>
    </w:p>
    <w:p w:rsidR="00A45870" w:rsidRPr="00A45870" w:rsidRDefault="00A45870" w:rsidP="00A45870">
      <w:pPr>
        <w:pStyle w:val="Sansinterligne"/>
      </w:pPr>
    </w:p>
    <w:p w:rsidR="002B1560" w:rsidRDefault="002B1560" w:rsidP="00A45870">
      <w:pPr>
        <w:pStyle w:val="Sansinterligne"/>
      </w:pPr>
      <w:r w:rsidRPr="00A45870">
        <w:t xml:space="preserve">Le Cheykh (Ibn </w:t>
      </w:r>
      <w:proofErr w:type="spellStart"/>
      <w:r w:rsidRPr="00A45870">
        <w:t>taymiyya</w:t>
      </w:r>
      <w:proofErr w:type="spellEnd"/>
      <w:r w:rsidRPr="00A45870">
        <w:t>) qu’Allah lui fasse miséricorde, continue et dit</w:t>
      </w:r>
      <w:r w:rsidR="00A45870">
        <w:t xml:space="preserve"> </w:t>
      </w:r>
      <w:r w:rsidRPr="00A45870">
        <w:t xml:space="preserve">: </w:t>
      </w:r>
    </w:p>
    <w:p w:rsidR="00A45870" w:rsidRPr="00A45870" w:rsidRDefault="00A45870" w:rsidP="00A45870">
      <w:pPr>
        <w:pStyle w:val="Sansinterligne"/>
      </w:pPr>
    </w:p>
    <w:p w:rsidR="002B1560" w:rsidRPr="00A45870" w:rsidRDefault="00A45870" w:rsidP="00A45870">
      <w:pPr>
        <w:pStyle w:val="Sansinterligne"/>
      </w:pPr>
      <w:r>
        <w:rPr>
          <w:rStyle w:val="Accentuation"/>
          <w:i w:val="0"/>
          <w:iCs w:val="0"/>
        </w:rPr>
        <w:t>« </w:t>
      </w:r>
      <w:r w:rsidR="002B1560" w:rsidRPr="00A45870">
        <w:rPr>
          <w:rStyle w:val="Accentuation"/>
          <w:b/>
          <w:bCs/>
          <w:i w:val="0"/>
          <w:iCs w:val="0"/>
          <w:color w:val="00B050"/>
        </w:rPr>
        <w:t xml:space="preserve">Quant à celui qui outrepasse cela, c'est-à-dire celui qui prétend que les compagnons sont devenus apostats après la mort du Messager d'Allah, sauf un petit groupe ne dépassant pas une dizaine, ou qu'ils ont dévié, </w:t>
      </w:r>
      <w:r w:rsidR="002B1560" w:rsidRPr="00A45870">
        <w:rPr>
          <w:rStyle w:val="Accentuation"/>
          <w:b/>
          <w:bCs/>
          <w:i w:val="0"/>
          <w:iCs w:val="0"/>
          <w:color w:val="00B050"/>
          <w:u w:val="single"/>
        </w:rPr>
        <w:t>et bien il n'y a pas de doute sur la mécréance de celui qui dit une chose pareille. Quant à celui qui doute de sa mécréance il est lui-même mécréant</w:t>
      </w:r>
      <w:r w:rsidR="002B1560" w:rsidRPr="00A45870">
        <w:rPr>
          <w:rStyle w:val="Accentuation"/>
          <w:i w:val="0"/>
          <w:iCs w:val="0"/>
        </w:rPr>
        <w:t> </w:t>
      </w:r>
      <w:r w:rsidR="002B1560" w:rsidRPr="00A45870">
        <w:t xml:space="preserve">» </w:t>
      </w:r>
    </w:p>
    <w:p w:rsidR="00A45870" w:rsidRDefault="00A45870" w:rsidP="00A45870">
      <w:pPr>
        <w:pStyle w:val="Sansinterligne"/>
      </w:pPr>
    </w:p>
    <w:p w:rsidR="002B1560" w:rsidRPr="00A45870" w:rsidRDefault="002B1560" w:rsidP="00A45870">
      <w:pPr>
        <w:pStyle w:val="Sansinterligne"/>
      </w:pPr>
      <w:r w:rsidRPr="00A45870">
        <w:t xml:space="preserve"> Cela est la base du statut des Rafida, quant au statut des contemporains, ils sont lié maintenant avec les Rafida dans le </w:t>
      </w:r>
      <w:proofErr w:type="spellStart"/>
      <w:r w:rsidRPr="00A45870">
        <w:t>chirk</w:t>
      </w:r>
      <w:proofErr w:type="spellEnd"/>
      <w:r w:rsidRPr="00A45870">
        <w:t xml:space="preserve"> majeur, comme ce qu’ils font ouvertement, c’est le même </w:t>
      </w:r>
      <w:proofErr w:type="spellStart"/>
      <w:r w:rsidRPr="00A45870">
        <w:t>chirk</w:t>
      </w:r>
      <w:proofErr w:type="spellEnd"/>
      <w:r w:rsidRPr="00A45870">
        <w:t xml:space="preserve"> qui a été rapporté concernant les arabes (</w:t>
      </w:r>
      <w:proofErr w:type="spellStart"/>
      <w:r w:rsidRPr="00A45870">
        <w:t>Qoraychite</w:t>
      </w:r>
      <w:proofErr w:type="spellEnd"/>
      <w:r w:rsidRPr="00A45870">
        <w:t xml:space="preserve">), ceux pour qui le Messager d’Allah leur a été envoyer, que la paix et les bénédictions d’Allah soient sur lui. </w:t>
      </w:r>
    </w:p>
    <w:p w:rsidR="002B1560" w:rsidRPr="00A45870" w:rsidRDefault="002B1560" w:rsidP="00A45870">
      <w:pPr>
        <w:pStyle w:val="Sansinterligne"/>
      </w:pPr>
      <w:r w:rsidRPr="00A45870">
        <w:t xml:space="preserve">  </w:t>
      </w:r>
    </w:p>
    <w:p w:rsidR="002B1560" w:rsidRDefault="002B1560" w:rsidP="00A45870">
      <w:pPr>
        <w:pStyle w:val="Sansinterligne"/>
      </w:pPr>
      <w:r w:rsidRPr="00A45870">
        <w:rPr>
          <w:b/>
          <w:bCs/>
        </w:rPr>
        <w:t>2)</w:t>
      </w:r>
      <w:r w:rsidRPr="00A45870">
        <w:rPr>
          <w:b/>
          <w:bCs/>
          <w:sz w:val="14"/>
          <w:szCs w:val="14"/>
        </w:rPr>
        <w:t>     </w:t>
      </w:r>
      <w:r w:rsidRPr="00A45870">
        <w:rPr>
          <w:b/>
          <w:bCs/>
        </w:rPr>
        <w:t xml:space="preserve"> </w:t>
      </w:r>
      <w:r w:rsidRPr="00A45870">
        <w:rPr>
          <w:b/>
          <w:bCs/>
          <w:u w:val="single"/>
        </w:rPr>
        <w:t>Le Cheykh ‘Abdoullah répond à la deuxième question</w:t>
      </w:r>
      <w:r w:rsidRPr="00A45870">
        <w:rPr>
          <w:b/>
          <w:bCs/>
        </w:rPr>
        <w:t> :</w:t>
      </w:r>
      <w:r w:rsidRPr="00A45870">
        <w:t xml:space="preserve"> </w:t>
      </w:r>
    </w:p>
    <w:p w:rsidR="00A45870" w:rsidRPr="00A45870" w:rsidRDefault="00A45870" w:rsidP="00A45870">
      <w:pPr>
        <w:pStyle w:val="Sansinterligne"/>
      </w:pPr>
    </w:p>
    <w:p w:rsidR="002B1560" w:rsidRPr="00A45870" w:rsidRDefault="002B1560" w:rsidP="00A45870">
      <w:pPr>
        <w:pStyle w:val="Sansinterligne"/>
      </w:pPr>
      <w:r w:rsidRPr="00A45870">
        <w:t>Celui qui dit que la personne qui prononce l’attestation de foi (</w:t>
      </w:r>
      <w:proofErr w:type="spellStart"/>
      <w:r w:rsidRPr="00A45870">
        <w:t>Chahâdatayn</w:t>
      </w:r>
      <w:proofErr w:type="spellEnd"/>
      <w:r w:rsidRPr="00A45870">
        <w:t xml:space="preserve">) ne peut être </w:t>
      </w:r>
      <w:r w:rsidR="00A45870" w:rsidRPr="00A45870">
        <w:t>excommuniée</w:t>
      </w:r>
      <w:r w:rsidRPr="00A45870">
        <w:t xml:space="preserve"> quoi qu’il fasse. </w:t>
      </w:r>
    </w:p>
    <w:p w:rsidR="00A45870" w:rsidRDefault="00A45870" w:rsidP="00A45870">
      <w:pPr>
        <w:pStyle w:val="Sansinterligne"/>
        <w:rPr>
          <w:u w:val="single"/>
        </w:rPr>
      </w:pPr>
    </w:p>
    <w:p w:rsidR="002B1560" w:rsidRDefault="002B1560" w:rsidP="00A45870">
      <w:pPr>
        <w:pStyle w:val="Sansinterligne"/>
      </w:pPr>
      <w:r w:rsidRPr="00A45870">
        <w:t xml:space="preserve">Le </w:t>
      </w:r>
      <w:proofErr w:type="spellStart"/>
      <w:r w:rsidRPr="00A45870">
        <w:t>cheykh</w:t>
      </w:r>
      <w:proofErr w:type="spellEnd"/>
      <w:r w:rsidRPr="00A45870">
        <w:t xml:space="preserve"> dit :</w:t>
      </w:r>
      <w:r w:rsidRPr="00A45870">
        <w:br/>
      </w:r>
      <w:r w:rsidRPr="00A45870">
        <w:rPr>
          <w:color w:val="000000"/>
        </w:rPr>
        <w:br/>
      </w:r>
      <w:r w:rsidRPr="00A45870">
        <w:rPr>
          <w:rStyle w:val="Accentuation"/>
          <w:i w:val="0"/>
          <w:iCs w:val="0"/>
          <w:color w:val="000000"/>
        </w:rPr>
        <w:t>Quant à celui qui dit qu’il n’est pas permis de juger mécréant quiconque prononce les deux attestations, il devra forcément se contredire pour celui qui renie la résurrection ou en doute, même s’il prononce les deux attestations, ou s’il renie la prophétie d’un prophète qu’Allah nomma « prophète » dans Son Livre, ou celui qui dit qu’il est permis de faire l’adultère ou autre. Je ne pense pas qu’il se retiendra de juger mécréant ce genre là, sauf s’il est entêté et orgueilleux.</w:t>
      </w:r>
      <w:r w:rsidRPr="00A45870">
        <w:rPr>
          <w:color w:val="000000"/>
        </w:rPr>
        <w:br/>
      </w:r>
      <w:r w:rsidRPr="00A45870">
        <w:rPr>
          <w:color w:val="000000"/>
        </w:rPr>
        <w:br/>
      </w:r>
      <w:r w:rsidRPr="00A45870">
        <w:rPr>
          <w:rStyle w:val="Accentuation"/>
          <w:i w:val="0"/>
          <w:iCs w:val="0"/>
          <w:color w:val="000000"/>
        </w:rPr>
        <w:t xml:space="preserve">S’il s’entête et s’enorgueillit, et qu’il ose dire « Cela ne lui fait aucun mal, il ne peut devenir mécréant tant qu’il prononce les deux attestations </w:t>
      </w:r>
      <w:r w:rsidRPr="00A45870">
        <w:rPr>
          <w:rStyle w:val="Accentuation"/>
          <w:b/>
          <w:bCs/>
          <w:i w:val="0"/>
          <w:iCs w:val="0"/>
          <w:color w:val="000000"/>
          <w:u w:val="single"/>
        </w:rPr>
        <w:t>» alors il n’y a aucun doute de sa mécréance, ni sur la mécréance de celui qui doute de sa mécréance. Car lorsqu’il dit ça ; il dément Allah et Son messager, ainsi que l’unanimité des musulmans.</w:t>
      </w:r>
      <w:r w:rsidRPr="00A45870">
        <w:rPr>
          <w:rStyle w:val="Accentuation"/>
          <w:i w:val="0"/>
          <w:iCs w:val="0"/>
          <w:color w:val="000000"/>
        </w:rPr>
        <w:t xml:space="preserve"> Et les preuves de cela sont évidentes dans le Coran, la </w:t>
      </w:r>
      <w:proofErr w:type="spellStart"/>
      <w:r w:rsidRPr="00A45870">
        <w:rPr>
          <w:rStyle w:val="Accentuation"/>
          <w:i w:val="0"/>
          <w:iCs w:val="0"/>
          <w:color w:val="000000"/>
        </w:rPr>
        <w:t>Sounnah</w:t>
      </w:r>
      <w:proofErr w:type="spellEnd"/>
      <w:r w:rsidRPr="00A45870">
        <w:rPr>
          <w:rStyle w:val="Accentuation"/>
          <w:i w:val="0"/>
          <w:iCs w:val="0"/>
          <w:color w:val="000000"/>
        </w:rPr>
        <w:t xml:space="preserve"> et l’unanimité.</w:t>
      </w:r>
      <w:r w:rsidRPr="00A45870">
        <w:t xml:space="preserve"> </w:t>
      </w:r>
    </w:p>
    <w:p w:rsidR="00A45870" w:rsidRPr="00A45870" w:rsidRDefault="00A45870" w:rsidP="00A45870">
      <w:pPr>
        <w:pStyle w:val="Sansinterligne"/>
      </w:pPr>
    </w:p>
    <w:p w:rsidR="00A45870" w:rsidRDefault="002B1560" w:rsidP="00A45870">
      <w:pPr>
        <w:pStyle w:val="Sansinterligne"/>
        <w:rPr>
          <w:color w:val="000000"/>
        </w:rPr>
      </w:pPr>
      <w:r w:rsidRPr="00A45870">
        <w:rPr>
          <w:color w:val="000000"/>
        </w:rPr>
        <w:t xml:space="preserve"> Celui qui dit: « Que le fait de prononcer les deux attestations,  rien ne peut les nuire » ou dit: « que celui qui prononce les deux attestations de foi, prie et jeûne, il est interdit de l'excommunier, même si il venait à adorer autre qu'Allah », </w:t>
      </w:r>
      <w:r w:rsidRPr="00A45870">
        <w:rPr>
          <w:color w:val="000000"/>
          <w:u w:val="single"/>
        </w:rPr>
        <w:t>et bien celui qui dit ça est un mécréant, et celui qui doute de sa mécréance est aussi un mécréant</w:t>
      </w:r>
      <w:r w:rsidRPr="00A45870">
        <w:rPr>
          <w:color w:val="000000"/>
        </w:rPr>
        <w:t>, car celui qui dit une telle parole a démentit Allah et son messager, ainsi que l'unanimité des musulmans comme nous l'avons précédemment mentionné, et les textes du coran et de la sunna sont nombreux, et vient s'ajouter à eux le consensus catégorique</w:t>
      </w:r>
      <w:r w:rsidRPr="00A45870">
        <w:t xml:space="preserve"> </w:t>
      </w:r>
      <w:r w:rsidRPr="00A45870">
        <w:rPr>
          <w:color w:val="000000"/>
        </w:rPr>
        <w:t>[</w:t>
      </w:r>
      <w:r w:rsidRPr="00A45870">
        <w:rPr>
          <w:i/>
          <w:iCs/>
          <w:color w:val="000000"/>
        </w:rPr>
        <w:t xml:space="preserve">al </w:t>
      </w:r>
      <w:proofErr w:type="spellStart"/>
      <w:r w:rsidRPr="00A45870">
        <w:rPr>
          <w:i/>
          <w:iCs/>
          <w:color w:val="000000"/>
        </w:rPr>
        <w:t>Ijma’Qat’i</w:t>
      </w:r>
      <w:proofErr w:type="spellEnd"/>
      <w:r w:rsidRPr="00A45870">
        <w:rPr>
          <w:color w:val="000000"/>
        </w:rPr>
        <w:t xml:space="preserve">] au sujet duquel celui qui à un minimum de clairvoyances des paroles des savants ne doute point, cependant le conformisme aveugle et les passions rendent sourd et aveugle. </w:t>
      </w:r>
    </w:p>
    <w:p w:rsidR="00A45870" w:rsidRDefault="00A45870" w:rsidP="00A45870">
      <w:pPr>
        <w:pStyle w:val="Sansinterligne"/>
        <w:rPr>
          <w:color w:val="000000"/>
        </w:rPr>
      </w:pPr>
    </w:p>
    <w:p w:rsidR="00A45870" w:rsidRPr="00A45870" w:rsidRDefault="002B1560" w:rsidP="00A45870">
      <w:pPr>
        <w:pStyle w:val="Sansinterligne"/>
        <w:jc w:val="center"/>
        <w:rPr>
          <w:rFonts w:asciiTheme="majorBidi" w:hAnsiTheme="majorBidi" w:cstheme="majorBidi"/>
        </w:rPr>
      </w:pPr>
      <w:r w:rsidRPr="00A45870">
        <w:rPr>
          <w:rFonts w:asciiTheme="majorBidi" w:hAnsiTheme="majorBidi" w:cstheme="majorBidi"/>
          <w:color w:val="000000"/>
        </w:rPr>
        <w:t>« </w:t>
      </w:r>
      <w:r w:rsidRPr="00A45870">
        <w:rPr>
          <w:rFonts w:asciiTheme="majorBidi" w:hAnsiTheme="majorBidi" w:cstheme="majorBidi"/>
        </w:rPr>
        <w:t xml:space="preserve"> </w:t>
      </w:r>
      <w:r w:rsidRPr="00A45870">
        <w:rPr>
          <w:rStyle w:val="Accentuation"/>
          <w:rFonts w:asciiTheme="majorBidi" w:hAnsiTheme="majorBidi" w:cstheme="majorBidi"/>
          <w:b/>
          <w:bCs/>
          <w:i w:val="0"/>
          <w:iCs w:val="0"/>
          <w:color w:val="FF0000"/>
        </w:rPr>
        <w:t>Celui qu'Allah prive de lumière n'a aucune lumière</w:t>
      </w:r>
      <w:r w:rsidRPr="00A45870">
        <w:rPr>
          <w:rFonts w:asciiTheme="majorBidi" w:hAnsiTheme="majorBidi" w:cstheme="majorBidi"/>
          <w:color w:val="000000"/>
        </w:rPr>
        <w:t> »</w:t>
      </w:r>
    </w:p>
    <w:p w:rsidR="00A45870" w:rsidRDefault="002B1560" w:rsidP="00A45870">
      <w:pPr>
        <w:pStyle w:val="Sansinterligne"/>
        <w:jc w:val="center"/>
        <w:rPr>
          <w:color w:val="000000"/>
        </w:rPr>
      </w:pPr>
      <w:r w:rsidRPr="00A45870">
        <w:rPr>
          <w:color w:val="000000"/>
        </w:rPr>
        <w:t>[S</w:t>
      </w:r>
      <w:r w:rsidR="00A45870">
        <w:rPr>
          <w:color w:val="000000"/>
        </w:rPr>
        <w:t>ourate</w:t>
      </w:r>
      <w:r w:rsidRPr="00A45870">
        <w:rPr>
          <w:color w:val="000000"/>
        </w:rPr>
        <w:t xml:space="preserve"> </w:t>
      </w:r>
      <w:proofErr w:type="spellStart"/>
      <w:r w:rsidRPr="00A45870">
        <w:rPr>
          <w:color w:val="000000"/>
        </w:rPr>
        <w:t>Nour</w:t>
      </w:r>
      <w:proofErr w:type="gramStart"/>
      <w:r w:rsidRPr="00A45870">
        <w:rPr>
          <w:color w:val="000000"/>
        </w:rPr>
        <w:t>,V</w:t>
      </w:r>
      <w:r w:rsidR="00A45870">
        <w:rPr>
          <w:color w:val="000000"/>
        </w:rPr>
        <w:t>erset</w:t>
      </w:r>
      <w:proofErr w:type="spellEnd"/>
      <w:proofErr w:type="gramEnd"/>
      <w:r w:rsidR="00A45870">
        <w:rPr>
          <w:color w:val="000000"/>
        </w:rPr>
        <w:t xml:space="preserve"> </w:t>
      </w:r>
      <w:r w:rsidRPr="00A45870">
        <w:rPr>
          <w:color w:val="000000"/>
        </w:rPr>
        <w:t>40]</w:t>
      </w:r>
    </w:p>
    <w:p w:rsidR="00A45870" w:rsidRDefault="00A45870" w:rsidP="00A45870">
      <w:pPr>
        <w:pStyle w:val="Sansinterligne"/>
        <w:rPr>
          <w:color w:val="000000"/>
        </w:rPr>
      </w:pPr>
    </w:p>
    <w:p w:rsidR="002B1560" w:rsidRPr="00A45870" w:rsidRDefault="002B1560" w:rsidP="00A45870">
      <w:pPr>
        <w:pStyle w:val="Sansinterligne"/>
        <w:rPr>
          <w:u w:val="single"/>
        </w:rPr>
      </w:pPr>
      <w:r w:rsidRPr="00A45870">
        <w:rPr>
          <w:color w:val="000000"/>
          <w:u w:val="single"/>
        </w:rPr>
        <w:t>Fin de citation</w:t>
      </w:r>
      <w:r w:rsidR="00A45870" w:rsidRPr="00A45870">
        <w:rPr>
          <w:color w:val="000000"/>
          <w:u w:val="single"/>
        </w:rPr>
        <w:t>.</w:t>
      </w:r>
      <w:r w:rsidRPr="00A45870">
        <w:rPr>
          <w:u w:val="single"/>
        </w:rPr>
        <w:t xml:space="preserve"> </w:t>
      </w:r>
    </w:p>
    <w:p w:rsidR="00A45870" w:rsidRDefault="00A45870" w:rsidP="00A45870">
      <w:pPr>
        <w:pStyle w:val="Sansinterligne"/>
      </w:pPr>
    </w:p>
    <w:p w:rsidR="002B1560" w:rsidRPr="00A45870" w:rsidRDefault="002B1560" w:rsidP="00A45870">
      <w:pPr>
        <w:pStyle w:val="Sansinterligne"/>
        <w:rPr>
          <w:lang w:val="en-US"/>
        </w:rPr>
      </w:pPr>
      <w:proofErr w:type="gramStart"/>
      <w:r w:rsidRPr="00A45870">
        <w:rPr>
          <w:b/>
          <w:bCs/>
          <w:u w:val="single"/>
          <w:lang w:val="en-US"/>
        </w:rPr>
        <w:t>Source</w:t>
      </w:r>
      <w:r w:rsidRPr="00A45870">
        <w:rPr>
          <w:lang w:val="en-US"/>
        </w:rPr>
        <w:t> :</w:t>
      </w:r>
      <w:proofErr w:type="gramEnd"/>
      <w:r w:rsidRPr="00A45870">
        <w:rPr>
          <w:lang w:val="en-US"/>
        </w:rPr>
        <w:t xml:space="preserve"> Ad-</w:t>
      </w:r>
      <w:proofErr w:type="spellStart"/>
      <w:r w:rsidRPr="00A45870">
        <w:rPr>
          <w:lang w:val="en-US"/>
        </w:rPr>
        <w:t>Dourar</w:t>
      </w:r>
      <w:proofErr w:type="spellEnd"/>
      <w:r w:rsidRPr="00A45870">
        <w:rPr>
          <w:lang w:val="en-US"/>
        </w:rPr>
        <w:t xml:space="preserve"> As-</w:t>
      </w:r>
      <w:proofErr w:type="spellStart"/>
      <w:r w:rsidRPr="00A45870">
        <w:rPr>
          <w:lang w:val="en-US"/>
        </w:rPr>
        <w:t>Saniyya</w:t>
      </w:r>
      <w:proofErr w:type="spellEnd"/>
      <w:r w:rsidR="00A45870" w:rsidRPr="00A45870">
        <w:rPr>
          <w:lang w:val="en-US"/>
        </w:rPr>
        <w:t>, tome</w:t>
      </w:r>
      <w:r w:rsidRPr="00A45870">
        <w:rPr>
          <w:lang w:val="en-US"/>
        </w:rPr>
        <w:t xml:space="preserve"> 10</w:t>
      </w:r>
      <w:r w:rsidR="00A45870" w:rsidRPr="00A45870">
        <w:rPr>
          <w:lang w:val="en-US"/>
        </w:rPr>
        <w:t xml:space="preserve">, page </w:t>
      </w:r>
      <w:r w:rsidRPr="00A45870">
        <w:rPr>
          <w:lang w:val="en-US"/>
        </w:rPr>
        <w:t>248- 250</w:t>
      </w:r>
      <w:r w:rsidR="00A45870">
        <w:rPr>
          <w:color w:val="000000"/>
          <w:lang w:val="en-US"/>
        </w:rPr>
        <w:t>.</w:t>
      </w:r>
      <w:r w:rsidRPr="00A45870">
        <w:rPr>
          <w:lang w:val="en-US"/>
        </w:rPr>
        <w:t xml:space="preserve"> </w:t>
      </w:r>
    </w:p>
    <w:p w:rsidR="002B1560" w:rsidRPr="00A45870" w:rsidRDefault="002B1560" w:rsidP="00A45870">
      <w:pPr>
        <w:pStyle w:val="Sansinterligne"/>
        <w:rPr>
          <w:lang w:val="en-US"/>
        </w:rPr>
      </w:pPr>
      <w:r w:rsidRPr="00A45870">
        <w:rPr>
          <w:lang w:val="en-US"/>
        </w:rPr>
        <w:t xml:space="preserve">  </w:t>
      </w:r>
    </w:p>
    <w:p w:rsidR="002B1560" w:rsidRPr="0040399D" w:rsidRDefault="002B1560" w:rsidP="00A45870">
      <w:pPr>
        <w:pStyle w:val="Sansinterligne"/>
        <w:rPr>
          <w:b/>
          <w:bCs/>
        </w:rPr>
      </w:pPr>
      <w:r w:rsidRPr="0040399D">
        <w:rPr>
          <w:b/>
          <w:bCs/>
        </w:rPr>
        <w:t xml:space="preserve">Les points à retenir : </w:t>
      </w:r>
    </w:p>
    <w:p w:rsidR="0040399D" w:rsidRPr="00A45870" w:rsidRDefault="0040399D" w:rsidP="00A45870">
      <w:pPr>
        <w:pStyle w:val="Sansinterligne"/>
      </w:pPr>
    </w:p>
    <w:p w:rsidR="0040399D" w:rsidRDefault="002B1560" w:rsidP="00A45870">
      <w:pPr>
        <w:pStyle w:val="Sansinterligne"/>
      </w:pPr>
      <w:r w:rsidRPr="00A45870">
        <w:rPr>
          <w:rFonts w:ascii="Wingdings" w:hAnsi="Wingdings"/>
        </w:rPr>
        <w:t></w:t>
      </w:r>
      <w:r w:rsidRPr="00A45870">
        <w:rPr>
          <w:sz w:val="14"/>
          <w:szCs w:val="14"/>
        </w:rPr>
        <w:t> </w:t>
      </w:r>
      <w:r w:rsidRPr="00A45870">
        <w:t xml:space="preserve"> Le chiisme duodécimain imamite est une secte hors de l’Islam</w:t>
      </w:r>
      <w:r w:rsidR="0040399D">
        <w:t>.</w:t>
      </w:r>
    </w:p>
    <w:p w:rsidR="002B1560" w:rsidRPr="00A45870" w:rsidRDefault="002B1560" w:rsidP="00A45870">
      <w:pPr>
        <w:pStyle w:val="Sansinterligne"/>
      </w:pPr>
      <w:r w:rsidRPr="00A45870">
        <w:t xml:space="preserve"> </w:t>
      </w:r>
    </w:p>
    <w:p w:rsidR="002B1560" w:rsidRPr="00A45870" w:rsidRDefault="002B1560" w:rsidP="00A45870">
      <w:pPr>
        <w:pStyle w:val="Sansinterligne"/>
      </w:pPr>
      <w:r w:rsidRPr="00A45870">
        <w:rPr>
          <w:rFonts w:ascii="Wingdings" w:hAnsi="Wingdings"/>
        </w:rPr>
        <w:t></w:t>
      </w:r>
      <w:r w:rsidRPr="00A45870">
        <w:rPr>
          <w:sz w:val="14"/>
          <w:szCs w:val="14"/>
        </w:rPr>
        <w:t> </w:t>
      </w:r>
      <w:r w:rsidRPr="00A45870">
        <w:t xml:space="preserve"> Les chiites qui excommunient ou considèrent égarés la plupart des compagnons sont mécréants sans divergence ainsi que ceux qui calomnient ‘</w:t>
      </w:r>
      <w:proofErr w:type="spellStart"/>
      <w:r w:rsidRPr="00A45870">
        <w:t>Aycha</w:t>
      </w:r>
      <w:proofErr w:type="spellEnd"/>
      <w:r w:rsidRPr="00A45870">
        <w:t xml:space="preserve">. </w:t>
      </w:r>
    </w:p>
    <w:p w:rsidR="0040399D" w:rsidRDefault="0040399D" w:rsidP="00A45870">
      <w:pPr>
        <w:pStyle w:val="Sansinterligne"/>
        <w:rPr>
          <w:rFonts w:ascii="Wingdings" w:hAnsi="Wingdings"/>
        </w:rPr>
      </w:pPr>
    </w:p>
    <w:p w:rsidR="002B1560" w:rsidRPr="00A45870" w:rsidRDefault="002B1560" w:rsidP="00A45870">
      <w:pPr>
        <w:pStyle w:val="Sansinterligne"/>
      </w:pPr>
      <w:r w:rsidRPr="00A45870">
        <w:rPr>
          <w:rFonts w:ascii="Wingdings" w:hAnsi="Wingdings"/>
        </w:rPr>
        <w:t></w:t>
      </w:r>
      <w:r w:rsidRPr="00A45870">
        <w:rPr>
          <w:sz w:val="14"/>
          <w:szCs w:val="14"/>
        </w:rPr>
        <w:t> </w:t>
      </w:r>
      <w:r w:rsidRPr="00A45870">
        <w:t xml:space="preserve"> Les savants ont divergés sur le </w:t>
      </w:r>
      <w:proofErr w:type="spellStart"/>
      <w:r w:rsidRPr="00A45870">
        <w:t>tekfir</w:t>
      </w:r>
      <w:proofErr w:type="spellEnd"/>
      <w:r w:rsidRPr="00A45870">
        <w:t xml:space="preserve"> de ceux qui maudissent les compagnons à l’instar de l’Imam Ahmed, qu’Allah le comble de sa miséricorde. </w:t>
      </w:r>
    </w:p>
    <w:p w:rsidR="0040399D" w:rsidRDefault="0040399D" w:rsidP="00A45870">
      <w:pPr>
        <w:pStyle w:val="Sansinterligne"/>
        <w:rPr>
          <w:rFonts w:ascii="Wingdings" w:hAnsi="Wingdings"/>
        </w:rPr>
      </w:pPr>
    </w:p>
    <w:p w:rsidR="002B1560" w:rsidRPr="00A45870" w:rsidRDefault="002B1560" w:rsidP="00A45870">
      <w:pPr>
        <w:pStyle w:val="Sansinterligne"/>
      </w:pPr>
      <w:r w:rsidRPr="00A45870">
        <w:rPr>
          <w:rFonts w:ascii="Wingdings" w:hAnsi="Wingdings"/>
        </w:rPr>
        <w:t></w:t>
      </w:r>
      <w:r w:rsidRPr="00A45870">
        <w:rPr>
          <w:sz w:val="14"/>
          <w:szCs w:val="14"/>
        </w:rPr>
        <w:t> </w:t>
      </w:r>
      <w:r w:rsidRPr="00A45870">
        <w:t xml:space="preserve"> Cheykh Al Islam met en pratique la </w:t>
      </w:r>
      <w:proofErr w:type="spellStart"/>
      <w:r w:rsidRPr="00A45870">
        <w:t>Qaida</w:t>
      </w:r>
      <w:proofErr w:type="spellEnd"/>
      <w:r w:rsidRPr="00A45870">
        <w:t xml:space="preserve"> « </w:t>
      </w:r>
      <w:r w:rsidRPr="00A45870">
        <w:rPr>
          <w:rStyle w:val="Accentuation"/>
          <w:i w:val="0"/>
          <w:iCs w:val="0"/>
        </w:rPr>
        <w:t xml:space="preserve">Celui qui ne rend pas mécréant les </w:t>
      </w:r>
      <w:proofErr w:type="spellStart"/>
      <w:r w:rsidRPr="00A45870">
        <w:rPr>
          <w:rStyle w:val="Accentuation"/>
          <w:i w:val="0"/>
          <w:iCs w:val="0"/>
        </w:rPr>
        <w:t>associateurs</w:t>
      </w:r>
      <w:proofErr w:type="spellEnd"/>
      <w:r w:rsidRPr="00A45870">
        <w:rPr>
          <w:rStyle w:val="Accentuation"/>
          <w:i w:val="0"/>
          <w:iCs w:val="0"/>
        </w:rPr>
        <w:t xml:space="preserve"> ou doute de leur mécréance est lui-même mécréant à l’unanimité</w:t>
      </w:r>
      <w:r w:rsidRPr="00A45870">
        <w:t xml:space="preserve">» on remarque que c’était un principe de base du Cheykh al Islam et des savants du </w:t>
      </w:r>
      <w:proofErr w:type="spellStart"/>
      <w:r w:rsidRPr="00A45870">
        <w:t>Najd</w:t>
      </w:r>
      <w:proofErr w:type="spellEnd"/>
      <w:r w:rsidRPr="00A45870">
        <w:t xml:space="preserve">. </w:t>
      </w:r>
    </w:p>
    <w:p w:rsidR="002B1560" w:rsidRPr="00A45870" w:rsidRDefault="002B1560" w:rsidP="00A45870">
      <w:pPr>
        <w:pStyle w:val="Sansinterligne"/>
      </w:pPr>
      <w:r w:rsidRPr="00A45870">
        <w:rPr>
          <w:rFonts w:ascii="Calibri" w:hAnsi="Calibri"/>
          <w:color w:val="000000"/>
        </w:rPr>
        <w:t> </w:t>
      </w:r>
      <w:r w:rsidRPr="00A45870">
        <w:t xml:space="preserve"> </w:t>
      </w:r>
    </w:p>
    <w:p w:rsidR="002B1560" w:rsidRPr="0040399D" w:rsidRDefault="002B1560" w:rsidP="0040399D">
      <w:pPr>
        <w:pStyle w:val="Sansinterligne"/>
        <w:rPr>
          <w:sz w:val="28"/>
          <w:szCs w:val="28"/>
        </w:rPr>
      </w:pPr>
      <w:r w:rsidRPr="00A45870">
        <w:rPr>
          <w:color w:val="000000"/>
        </w:rPr>
        <w:t>Et Cheykh Al Islam Mouhammed Ibn ‘Abdilwahhâb confirme cette croyance, il dit dans</w:t>
      </w:r>
      <w:r w:rsidRPr="00A45870">
        <w:t xml:space="preserve"> Ad-</w:t>
      </w:r>
      <w:proofErr w:type="spellStart"/>
      <w:r w:rsidRPr="00A45870">
        <w:t>Dourar</w:t>
      </w:r>
      <w:proofErr w:type="spellEnd"/>
      <w:r w:rsidRPr="00A45870">
        <w:t xml:space="preserve"> As-</w:t>
      </w:r>
      <w:proofErr w:type="spellStart"/>
      <w:r w:rsidRPr="00A45870">
        <w:t>Saniyya</w:t>
      </w:r>
      <w:proofErr w:type="spellEnd"/>
      <w:r w:rsidRPr="00A45870">
        <w:t xml:space="preserve"> (10/129) : «</w:t>
      </w:r>
      <w:r w:rsidRPr="00A45870">
        <w:rPr>
          <w:rStyle w:val="Accentuation"/>
          <w:i w:val="0"/>
          <w:iCs w:val="0"/>
        </w:rPr>
        <w:t> </w:t>
      </w:r>
      <w:r w:rsidRPr="0040399D">
        <w:rPr>
          <w:rStyle w:val="Accentuation"/>
          <w:b/>
          <w:bCs/>
          <w:i w:val="0"/>
          <w:iCs w:val="0"/>
          <w:color w:val="00B050"/>
        </w:rPr>
        <w:t xml:space="preserve">Le </w:t>
      </w:r>
      <w:proofErr w:type="spellStart"/>
      <w:r w:rsidRPr="0040399D">
        <w:rPr>
          <w:rStyle w:val="Accentuation"/>
          <w:b/>
          <w:bCs/>
          <w:i w:val="0"/>
          <w:iCs w:val="0"/>
          <w:color w:val="00B050"/>
        </w:rPr>
        <w:t>Rafidi</w:t>
      </w:r>
      <w:proofErr w:type="spellEnd"/>
      <w:r w:rsidRPr="0040399D">
        <w:rPr>
          <w:rStyle w:val="Accentuation"/>
          <w:b/>
          <w:bCs/>
          <w:i w:val="0"/>
          <w:iCs w:val="0"/>
          <w:color w:val="00B050"/>
        </w:rPr>
        <w:t xml:space="preserve"> qui insulte les compagnons, il y a divergence entre savant sur sa mécréance, par contre s’il croit que ‘Ali ou Al </w:t>
      </w:r>
      <w:proofErr w:type="spellStart"/>
      <w:r w:rsidRPr="0040399D">
        <w:rPr>
          <w:rStyle w:val="Accentuation"/>
          <w:b/>
          <w:bCs/>
          <w:i w:val="0"/>
          <w:iCs w:val="0"/>
          <w:color w:val="00B050"/>
        </w:rPr>
        <w:t>Houssayn</w:t>
      </w:r>
      <w:proofErr w:type="spellEnd"/>
      <w:r w:rsidRPr="0040399D">
        <w:rPr>
          <w:rStyle w:val="Accentuation"/>
          <w:b/>
          <w:bCs/>
          <w:i w:val="0"/>
          <w:iCs w:val="0"/>
          <w:color w:val="00B050"/>
        </w:rPr>
        <w:t xml:space="preserve"> [sont des divinités en les adorant avec Allah], </w:t>
      </w:r>
      <w:r w:rsidRPr="0040399D">
        <w:rPr>
          <w:rStyle w:val="Accentuation"/>
          <w:b/>
          <w:bCs/>
          <w:i w:val="0"/>
          <w:iCs w:val="0"/>
          <w:color w:val="00B050"/>
          <w:u w:val="single"/>
        </w:rPr>
        <w:t>il est mécréant à l’unanimité et le sunnite qui doute de sa mécréance est un mécréant</w:t>
      </w:r>
      <w:r w:rsidRPr="0040399D">
        <w:rPr>
          <w:rStyle w:val="Accentuation"/>
          <w:b/>
          <w:bCs/>
          <w:i w:val="0"/>
          <w:iCs w:val="0"/>
          <w:color w:val="00B050"/>
        </w:rPr>
        <w:t>.</w:t>
      </w:r>
      <w:r w:rsidRPr="00A45870">
        <w:rPr>
          <w:rStyle w:val="Accentuation"/>
          <w:i w:val="0"/>
          <w:iCs w:val="0"/>
          <w:color w:val="000000"/>
        </w:rPr>
        <w:t> </w:t>
      </w:r>
      <w:r w:rsidRPr="00A45870">
        <w:rPr>
          <w:color w:val="000000"/>
        </w:rPr>
        <w:t>»</w:t>
      </w:r>
      <w:r w:rsidRPr="00A45870">
        <w:t xml:space="preserve"> </w:t>
      </w:r>
    </w:p>
    <w:p w:rsidR="002B1560" w:rsidRPr="00A45870" w:rsidRDefault="002B1560" w:rsidP="00A45870">
      <w:pPr>
        <w:pStyle w:val="Sansinterligne"/>
      </w:pPr>
      <w:r w:rsidRPr="00A45870">
        <w:rPr>
          <w:color w:val="000000"/>
        </w:rPr>
        <w:t> </w:t>
      </w:r>
      <w:r w:rsidRPr="00A45870">
        <w:t xml:space="preserve"> </w:t>
      </w:r>
    </w:p>
    <w:p w:rsidR="002B1560" w:rsidRPr="00A45870" w:rsidRDefault="002B1560" w:rsidP="00A45870">
      <w:pPr>
        <w:pStyle w:val="Sansinterligne"/>
      </w:pPr>
      <w:r w:rsidRPr="00A45870">
        <w:rPr>
          <w:color w:val="000000"/>
        </w:rPr>
        <w:t xml:space="preserve">Et Allah </w:t>
      </w:r>
      <w:proofErr w:type="spellStart"/>
      <w:r w:rsidRPr="00A45870">
        <w:rPr>
          <w:color w:val="000000"/>
        </w:rPr>
        <w:t>ta’ala</w:t>
      </w:r>
      <w:proofErr w:type="spellEnd"/>
      <w:r w:rsidRPr="00A45870">
        <w:rPr>
          <w:color w:val="000000"/>
        </w:rPr>
        <w:t xml:space="preserve"> demeure le plus savant</w:t>
      </w:r>
      <w:r w:rsidRPr="00A45870">
        <w:t xml:space="preserve"> </w:t>
      </w:r>
    </w:p>
    <w:p w:rsidR="00704369" w:rsidRDefault="00704369"/>
    <w:sectPr w:rsidR="00704369" w:rsidSect="0040399D">
      <w:footerReference w:type="default" r:id="rId9"/>
      <w:pgSz w:w="11906" w:h="16838"/>
      <w:pgMar w:top="1417" w:right="1417" w:bottom="1417" w:left="1417"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382" w:rsidRDefault="00905382" w:rsidP="00A45870">
      <w:r>
        <w:separator/>
      </w:r>
    </w:p>
  </w:endnote>
  <w:endnote w:type="continuationSeparator" w:id="0">
    <w:p w:rsidR="00905382" w:rsidRDefault="00905382" w:rsidP="00A45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9D" w:rsidRPr="0040399D" w:rsidRDefault="0040399D" w:rsidP="0040399D">
    <w:pPr>
      <w:pStyle w:val="Pieddepage"/>
      <w:jc w:val="center"/>
      <w:rPr>
        <w:rFonts w:asciiTheme="majorBidi" w:hAnsiTheme="majorBidi" w:cstheme="majorBidi"/>
        <w:b/>
        <w:bCs/>
        <w:sz w:val="26"/>
        <w:szCs w:val="26"/>
      </w:rPr>
    </w:pPr>
    <w:r w:rsidRPr="001F3E9F">
      <w:rPr>
        <w:noProof/>
        <w:lang w:eastAsia="zh-TW"/>
      </w:rPr>
      <w:pict>
        <v:group id="_x0000_s3073" style="position:absolute;left:0;text-align:left;margin-left:528.1pt;margin-top:785.7pt;width:63.5pt;height:41.5pt;z-index:251658240;mso-position-horizontal-relative:page;mso-position-vertical-relative:page" coordorigin="726,14496" coordsize="659,690">
          <v:rect id="_x0000_s3074" style="position:absolute;left:831;top:14552;width:512;height:526" fillcolor="#943634" strokecolor="#943634"/>
          <v:rect id="_x0000_s3075" style="position:absolute;left:831;top:15117;width:512;height:43" fillcolor="#943634" strokecolor="#943634"/>
          <v:shapetype id="_x0000_t202" coordsize="21600,21600" o:spt="202" path="m,l,21600r21600,l21600,xe">
            <v:stroke joinstyle="miter"/>
            <v:path gradientshapeok="t" o:connecttype="rect"/>
          </v:shapetype>
          <v:shape id="_x0000_s3076" type="#_x0000_t202" style="position:absolute;left:726;top:14496;width:659;height:690;v-text-anchor:bottom" filled="f" stroked="f">
            <v:textbox style="mso-next-textbox:#_x0000_s3076" inset="4.32pt,0,4.32pt,0">
              <w:txbxContent>
                <w:p w:rsidR="0040399D" w:rsidRPr="007F136F" w:rsidRDefault="0040399D" w:rsidP="0040399D">
                  <w:pPr>
                    <w:pStyle w:val="Pieddepage"/>
                    <w:jc w:val="right"/>
                    <w:rPr>
                      <w:b/>
                      <w:bCs/>
                      <w:i/>
                      <w:color w:val="FFFFFF"/>
                      <w:sz w:val="44"/>
                      <w:szCs w:val="44"/>
                    </w:rPr>
                  </w:pPr>
                  <w:r w:rsidRPr="007F136F">
                    <w:rPr>
                      <w:b/>
                      <w:bCs/>
                      <w:sz w:val="44"/>
                      <w:szCs w:val="44"/>
                    </w:rPr>
                    <w:fldChar w:fldCharType="begin"/>
                  </w:r>
                  <w:r w:rsidRPr="007F136F">
                    <w:rPr>
                      <w:b/>
                      <w:bCs/>
                      <w:sz w:val="44"/>
                      <w:szCs w:val="44"/>
                    </w:rPr>
                    <w:instrText xml:space="preserve"> PAGE    \* MERGEFORMAT </w:instrText>
                  </w:r>
                  <w:r w:rsidRPr="007F136F">
                    <w:rPr>
                      <w:b/>
                      <w:bCs/>
                      <w:sz w:val="44"/>
                      <w:szCs w:val="44"/>
                    </w:rPr>
                    <w:fldChar w:fldCharType="separate"/>
                  </w:r>
                  <w:r w:rsidR="0006538E" w:rsidRPr="0006538E">
                    <w:rPr>
                      <w:b/>
                      <w:bCs/>
                      <w:i/>
                      <w:noProof/>
                      <w:color w:val="FFFFFF"/>
                      <w:sz w:val="44"/>
                      <w:szCs w:val="44"/>
                    </w:rPr>
                    <w:t>1</w:t>
                  </w:r>
                  <w:r w:rsidRPr="007F136F">
                    <w:rPr>
                      <w:b/>
                      <w:bCs/>
                      <w:sz w:val="44"/>
                      <w:szCs w:val="44"/>
                    </w:rPr>
                    <w:fldChar w:fldCharType="end"/>
                  </w:r>
                </w:p>
                <w:p w:rsidR="0040399D" w:rsidRDefault="0040399D" w:rsidP="0040399D"/>
              </w:txbxContent>
            </v:textbox>
          </v:shape>
          <w10:wrap anchorx="page" anchory="page"/>
        </v:group>
      </w:pict>
    </w:r>
    <w:hyperlink r:id="rId1" w:history="1">
      <w:r w:rsidRPr="0099796E">
        <w:rPr>
          <w:rStyle w:val="Lienhypertexte"/>
          <w:rFonts w:asciiTheme="majorBidi" w:hAnsiTheme="majorBidi" w:cstheme="majorBidi"/>
          <w:b/>
          <w:bCs/>
          <w:sz w:val="26"/>
          <w:szCs w:val="26"/>
        </w:rPr>
        <w:t>http://bibliotheque-islamique-coran-sunna.over-blog.com/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382" w:rsidRDefault="00905382" w:rsidP="00A45870">
      <w:r>
        <w:separator/>
      </w:r>
    </w:p>
  </w:footnote>
  <w:footnote w:type="continuationSeparator" w:id="0">
    <w:p w:rsidR="00905382" w:rsidRDefault="00905382" w:rsidP="00A45870">
      <w:r>
        <w:continuationSeparator/>
      </w:r>
    </w:p>
  </w:footnote>
  <w:footnote w:id="1">
    <w:p w:rsidR="00A45870" w:rsidRDefault="00A45870">
      <w:pPr>
        <w:pStyle w:val="Notedebasdepage"/>
      </w:pPr>
      <w:r>
        <w:rPr>
          <w:rStyle w:val="Appelnotedebasdep"/>
        </w:rPr>
        <w:footnoteRef/>
      </w:r>
      <w:r>
        <w:t xml:space="preserve"> </w:t>
      </w:r>
      <w:r w:rsidRPr="00A45870">
        <w:t xml:space="preserve">Comme les alevis qu’on trouve en Turquie, </w:t>
      </w:r>
      <w:proofErr w:type="spellStart"/>
      <w:r w:rsidRPr="00A45870">
        <w:t>ndt</w:t>
      </w:r>
      <w:proofErr w:type="spellEnd"/>
      <w:r w:rsidRPr="00A45870">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2B1560"/>
    <w:rsid w:val="00007C1A"/>
    <w:rsid w:val="00044B3B"/>
    <w:rsid w:val="0006538E"/>
    <w:rsid w:val="000C0174"/>
    <w:rsid w:val="00107DEC"/>
    <w:rsid w:val="00155319"/>
    <w:rsid w:val="00244602"/>
    <w:rsid w:val="002852C3"/>
    <w:rsid w:val="002B1560"/>
    <w:rsid w:val="00300C8F"/>
    <w:rsid w:val="00376300"/>
    <w:rsid w:val="003C1DFB"/>
    <w:rsid w:val="003D3DCC"/>
    <w:rsid w:val="00401A2D"/>
    <w:rsid w:val="0040399D"/>
    <w:rsid w:val="00463B17"/>
    <w:rsid w:val="004B08AB"/>
    <w:rsid w:val="00574E95"/>
    <w:rsid w:val="00584A92"/>
    <w:rsid w:val="005C627F"/>
    <w:rsid w:val="00610866"/>
    <w:rsid w:val="00616207"/>
    <w:rsid w:val="00704369"/>
    <w:rsid w:val="00741238"/>
    <w:rsid w:val="00762C54"/>
    <w:rsid w:val="00764046"/>
    <w:rsid w:val="0079737A"/>
    <w:rsid w:val="007A55E2"/>
    <w:rsid w:val="007F5F17"/>
    <w:rsid w:val="008514F4"/>
    <w:rsid w:val="008C115B"/>
    <w:rsid w:val="00905382"/>
    <w:rsid w:val="00932B9E"/>
    <w:rsid w:val="00937064"/>
    <w:rsid w:val="009912A1"/>
    <w:rsid w:val="00994B1C"/>
    <w:rsid w:val="009965BA"/>
    <w:rsid w:val="00A45870"/>
    <w:rsid w:val="00B1200F"/>
    <w:rsid w:val="00BB0B50"/>
    <w:rsid w:val="00BC6C9A"/>
    <w:rsid w:val="00BD7CC8"/>
    <w:rsid w:val="00C53C52"/>
    <w:rsid w:val="00C56B86"/>
    <w:rsid w:val="00CD4EBD"/>
    <w:rsid w:val="00D15EBD"/>
    <w:rsid w:val="00ED292B"/>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paragraph" w:styleId="NormalWeb">
    <w:name w:val="Normal (Web)"/>
    <w:basedOn w:val="Normal"/>
    <w:uiPriority w:val="99"/>
    <w:semiHidden/>
    <w:unhideWhenUsed/>
    <w:rsid w:val="002B1560"/>
    <w:pPr>
      <w:spacing w:before="100" w:beforeAutospacing="1" w:after="100" w:afterAutospacing="1"/>
    </w:pPr>
  </w:style>
  <w:style w:type="paragraph" w:styleId="Paragraphedeliste">
    <w:name w:val="List Paragraph"/>
    <w:basedOn w:val="Normal"/>
    <w:uiPriority w:val="34"/>
    <w:qFormat/>
    <w:rsid w:val="002B1560"/>
    <w:pPr>
      <w:spacing w:before="100" w:beforeAutospacing="1" w:after="100" w:afterAutospacing="1"/>
    </w:pPr>
  </w:style>
  <w:style w:type="paragraph" w:styleId="Textedebulles">
    <w:name w:val="Balloon Text"/>
    <w:basedOn w:val="Normal"/>
    <w:link w:val="TextedebullesCar"/>
    <w:uiPriority w:val="99"/>
    <w:semiHidden/>
    <w:unhideWhenUsed/>
    <w:rsid w:val="00A45870"/>
    <w:rPr>
      <w:rFonts w:ascii="Tahoma" w:hAnsi="Tahoma" w:cs="Tahoma"/>
      <w:sz w:val="16"/>
      <w:szCs w:val="16"/>
    </w:rPr>
  </w:style>
  <w:style w:type="character" w:customStyle="1" w:styleId="TextedebullesCar">
    <w:name w:val="Texte de bulles Car"/>
    <w:basedOn w:val="Policepardfaut"/>
    <w:link w:val="Textedebulles"/>
    <w:uiPriority w:val="99"/>
    <w:semiHidden/>
    <w:rsid w:val="00A45870"/>
    <w:rPr>
      <w:rFonts w:ascii="Tahoma" w:hAnsi="Tahoma" w:cs="Tahoma"/>
      <w:sz w:val="16"/>
      <w:szCs w:val="16"/>
    </w:rPr>
  </w:style>
  <w:style w:type="paragraph" w:styleId="Sansinterligne">
    <w:name w:val="No Spacing"/>
    <w:link w:val="SansinterligneCar"/>
    <w:uiPriority w:val="1"/>
    <w:qFormat/>
    <w:rsid w:val="00A45870"/>
    <w:rPr>
      <w:sz w:val="24"/>
      <w:szCs w:val="24"/>
    </w:rPr>
  </w:style>
  <w:style w:type="paragraph" w:styleId="Notedebasdepage">
    <w:name w:val="footnote text"/>
    <w:basedOn w:val="Normal"/>
    <w:link w:val="NotedebasdepageCar"/>
    <w:uiPriority w:val="99"/>
    <w:semiHidden/>
    <w:unhideWhenUsed/>
    <w:rsid w:val="00A45870"/>
    <w:rPr>
      <w:sz w:val="20"/>
      <w:szCs w:val="20"/>
    </w:rPr>
  </w:style>
  <w:style w:type="character" w:customStyle="1" w:styleId="NotedebasdepageCar">
    <w:name w:val="Note de bas de page Car"/>
    <w:basedOn w:val="Policepardfaut"/>
    <w:link w:val="Notedebasdepage"/>
    <w:uiPriority w:val="99"/>
    <w:semiHidden/>
    <w:rsid w:val="00A45870"/>
  </w:style>
  <w:style w:type="character" w:styleId="Appelnotedebasdep">
    <w:name w:val="footnote reference"/>
    <w:basedOn w:val="Policepardfaut"/>
    <w:uiPriority w:val="99"/>
    <w:semiHidden/>
    <w:unhideWhenUsed/>
    <w:rsid w:val="00A45870"/>
    <w:rPr>
      <w:vertAlign w:val="superscript"/>
    </w:rPr>
  </w:style>
  <w:style w:type="character" w:customStyle="1" w:styleId="SansinterligneCar">
    <w:name w:val="Sans interligne Car"/>
    <w:basedOn w:val="Policepardfaut"/>
    <w:link w:val="Sansinterligne"/>
    <w:uiPriority w:val="1"/>
    <w:rsid w:val="0040399D"/>
    <w:rPr>
      <w:sz w:val="24"/>
      <w:szCs w:val="24"/>
    </w:rPr>
  </w:style>
  <w:style w:type="paragraph" w:styleId="En-tte">
    <w:name w:val="header"/>
    <w:basedOn w:val="Normal"/>
    <w:link w:val="En-tteCar"/>
    <w:uiPriority w:val="99"/>
    <w:semiHidden/>
    <w:unhideWhenUsed/>
    <w:rsid w:val="0040399D"/>
    <w:pPr>
      <w:tabs>
        <w:tab w:val="center" w:pos="4536"/>
        <w:tab w:val="right" w:pos="9072"/>
      </w:tabs>
    </w:pPr>
  </w:style>
  <w:style w:type="character" w:customStyle="1" w:styleId="En-tteCar">
    <w:name w:val="En-tête Car"/>
    <w:basedOn w:val="Policepardfaut"/>
    <w:link w:val="En-tte"/>
    <w:uiPriority w:val="99"/>
    <w:semiHidden/>
    <w:rsid w:val="0040399D"/>
    <w:rPr>
      <w:sz w:val="24"/>
      <w:szCs w:val="24"/>
    </w:rPr>
  </w:style>
  <w:style w:type="paragraph" w:styleId="Pieddepage">
    <w:name w:val="footer"/>
    <w:basedOn w:val="Normal"/>
    <w:link w:val="PieddepageCar"/>
    <w:uiPriority w:val="99"/>
    <w:unhideWhenUsed/>
    <w:rsid w:val="0040399D"/>
    <w:pPr>
      <w:tabs>
        <w:tab w:val="center" w:pos="4536"/>
        <w:tab w:val="right" w:pos="9072"/>
      </w:tabs>
    </w:pPr>
  </w:style>
  <w:style w:type="character" w:customStyle="1" w:styleId="PieddepageCar">
    <w:name w:val="Pied de page Car"/>
    <w:basedOn w:val="Policepardfaut"/>
    <w:link w:val="Pieddepage"/>
    <w:uiPriority w:val="99"/>
    <w:rsid w:val="0040399D"/>
    <w:rPr>
      <w:sz w:val="24"/>
      <w:szCs w:val="24"/>
    </w:rPr>
  </w:style>
  <w:style w:type="character" w:styleId="Lienhypertexte">
    <w:name w:val="Hyperlink"/>
    <w:basedOn w:val="Policepardfaut"/>
    <w:rsid w:val="0040399D"/>
    <w:rPr>
      <w:color w:val="0000FF"/>
      <w:u w:val="single"/>
    </w:rPr>
  </w:style>
</w:styles>
</file>

<file path=word/webSettings.xml><?xml version="1.0" encoding="utf-8"?>
<w:webSettings xmlns:r="http://schemas.openxmlformats.org/officeDocument/2006/relationships" xmlns:w="http://schemas.openxmlformats.org/wordprocessingml/2006/main">
  <w:divs>
    <w:div w:id="155701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B16D8-BC10-48F3-A160-0298AC3AE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955</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2011-05-01T11:38:00Z</cp:lastPrinted>
  <dcterms:created xsi:type="dcterms:W3CDTF">2011-02-03T16:00:00Z</dcterms:created>
  <dcterms:modified xsi:type="dcterms:W3CDTF">2011-05-01T11:38:00Z</dcterms:modified>
</cp:coreProperties>
</file>