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238" w:rsidRDefault="00CE3238" w:rsidP="00CE3238"/>
    <w:p w:rsidR="00CE3238" w:rsidRDefault="00CE3238" w:rsidP="00CE3238"/>
    <w:p w:rsidR="00CE3238" w:rsidRDefault="00CE3238" w:rsidP="00CE3238"/>
    <w:p w:rsidR="00CE3238" w:rsidRDefault="00CE3238" w:rsidP="00CE3238"/>
    <w:p w:rsidR="00CE3238" w:rsidRDefault="00CE3238" w:rsidP="00CE3238"/>
    <w:p w:rsidR="00CE3238" w:rsidRDefault="00CE3238" w:rsidP="00CE3238"/>
    <w:p w:rsidR="00CE3238" w:rsidRDefault="00CE3238" w:rsidP="00CE3238"/>
    <w:p w:rsidR="00CE3238" w:rsidRDefault="00CE3238" w:rsidP="00CE3238"/>
    <w:p w:rsidR="00CE3238" w:rsidRDefault="00CE3238" w:rsidP="00CE3238"/>
    <w:p w:rsidR="00CE3238" w:rsidRDefault="00CE3238" w:rsidP="00CE3238"/>
    <w:p w:rsidR="00CE3238" w:rsidRDefault="00CE3238" w:rsidP="00CE3238"/>
    <w:p w:rsidR="00CE3238" w:rsidRDefault="00CE3238" w:rsidP="00CE3238"/>
    <w:p w:rsidR="00CE3238" w:rsidRDefault="00CE3238" w:rsidP="00CE3238"/>
    <w:p w:rsidR="00CE3238" w:rsidRDefault="00CE3238" w:rsidP="00CE3238"/>
    <w:p w:rsidR="00CE3238" w:rsidRDefault="00CE3238" w:rsidP="00CE3238"/>
    <w:p w:rsidR="00CE3238" w:rsidRDefault="00CE3238" w:rsidP="00CE3238"/>
    <w:p w:rsidR="00CE3238" w:rsidRDefault="00CE3238" w:rsidP="00CE3238"/>
    <w:p w:rsidR="00CE3238" w:rsidRPr="00CE66F6" w:rsidRDefault="00CE3238" w:rsidP="00CE3238">
      <w:pPr>
        <w:rPr>
          <w:rFonts w:asciiTheme="majorBidi" w:hAnsiTheme="majorBidi" w:cstheme="majorBidi"/>
        </w:rPr>
      </w:pPr>
    </w:p>
    <w:p w:rsidR="00CE3238" w:rsidRDefault="00CE3238" w:rsidP="00CE3238">
      <w:pPr>
        <w:jc w:val="right"/>
        <w:rPr>
          <w:color w:val="7F7F7F"/>
          <w:sz w:val="32"/>
          <w:szCs w:val="32"/>
        </w:rPr>
      </w:pPr>
      <w:r w:rsidRPr="00E253B6">
        <w:rPr>
          <w:noProof/>
          <w:color w:val="C4BC96"/>
          <w:sz w:val="32"/>
          <w:szCs w:val="32"/>
          <w:lang w:eastAsia="en-US"/>
        </w:rPr>
        <w:pict>
          <v:group id="_x0000_s1027" style="position:absolute;left:0;text-align:left;margin-left:0;margin-top:0;width:610.2pt;height:790.2pt;z-index:-251658240;mso-width-percent:1000;mso-height-percent:1000;mso-position-horizontal:center;mso-position-horizontal-relative:page;mso-position-vertical:center;mso-position-vertical-relative:page;mso-width-percent:1000;mso-height-percent:1000" coordsize="12240,15840" o:allowincell="f">
            <v:rect id="_x0000_s1028"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9"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CE3238" w:rsidRPr="00CE3238" w:rsidTr="008B2ABD">
        <w:tc>
          <w:tcPr>
            <w:tcW w:w="9576" w:type="dxa"/>
          </w:tcPr>
          <w:p w:rsidR="00CE3238" w:rsidRDefault="00CE3238" w:rsidP="008B2ABD">
            <w:pPr>
              <w:jc w:val="center"/>
              <w:rPr>
                <w:rFonts w:asciiTheme="majorBidi" w:hAnsiTheme="majorBidi" w:cstheme="majorBidi"/>
                <w:b/>
                <w:bCs/>
                <w:i/>
                <w:iCs/>
                <w:color w:val="FFFFFF" w:themeColor="background1"/>
                <w:sz w:val="32"/>
                <w:szCs w:val="32"/>
              </w:rPr>
            </w:pPr>
          </w:p>
          <w:p w:rsidR="00CE3238" w:rsidRDefault="00CE3238" w:rsidP="008B2ABD">
            <w:pPr>
              <w:jc w:val="center"/>
              <w:rPr>
                <w:rFonts w:asciiTheme="majorBidi" w:hAnsiTheme="majorBidi" w:cstheme="majorBidi"/>
                <w:b/>
                <w:bCs/>
                <w:i/>
                <w:iCs/>
                <w:color w:val="FFFFFF" w:themeColor="background1"/>
                <w:sz w:val="32"/>
                <w:szCs w:val="32"/>
              </w:rPr>
            </w:pPr>
          </w:p>
          <w:p w:rsidR="00CE3238" w:rsidRPr="00CE3238" w:rsidRDefault="00CE3238" w:rsidP="00CE3238">
            <w:pPr>
              <w:jc w:val="center"/>
              <w:rPr>
                <w:rFonts w:asciiTheme="majorBidi" w:hAnsiTheme="majorBidi" w:cstheme="majorBidi"/>
                <w:b/>
                <w:bCs/>
                <w:i/>
                <w:iCs/>
                <w:color w:val="FFFFFF" w:themeColor="background1"/>
                <w:sz w:val="32"/>
                <w:szCs w:val="32"/>
              </w:rPr>
            </w:pPr>
            <w:r w:rsidRPr="00CE3238">
              <w:rPr>
                <w:rFonts w:asciiTheme="majorBidi" w:hAnsiTheme="majorBidi" w:cstheme="majorBidi"/>
                <w:b/>
                <w:bCs/>
                <w:i/>
                <w:iCs/>
                <w:color w:val="FFFFFF" w:themeColor="background1"/>
                <w:sz w:val="32"/>
                <w:szCs w:val="32"/>
              </w:rPr>
              <w:t>Par l’Imâm ‘Abd Al-Latîf Ibn ‘Abd ar-Ra</w:t>
            </w:r>
            <w:r w:rsidRPr="00CE3238">
              <w:rPr>
                <w:rFonts w:asciiTheme="majorBidi" w:hAnsiTheme="majorBidi" w:cstheme="majorBidi"/>
                <w:b/>
                <w:bCs/>
                <w:i/>
                <w:iCs/>
                <w:color w:val="FFFFFF" w:themeColor="background1"/>
                <w:sz w:val="32"/>
                <w:szCs w:val="32"/>
                <w:u w:val="single"/>
              </w:rPr>
              <w:t>h</w:t>
            </w:r>
            <w:r w:rsidRPr="00CE3238">
              <w:rPr>
                <w:rFonts w:asciiTheme="majorBidi" w:hAnsiTheme="majorBidi" w:cstheme="majorBidi"/>
                <w:b/>
                <w:bCs/>
                <w:i/>
                <w:iCs/>
                <w:color w:val="FFFFFF" w:themeColor="background1"/>
                <w:sz w:val="32"/>
                <w:szCs w:val="32"/>
              </w:rPr>
              <w:t>m</w:t>
            </w:r>
            <w:r>
              <w:rPr>
                <w:rFonts w:asciiTheme="majorBidi" w:hAnsiTheme="majorBidi" w:cstheme="majorBidi"/>
                <w:b/>
                <w:bCs/>
                <w:i/>
                <w:iCs/>
                <w:color w:val="FFFFFF" w:themeColor="background1"/>
                <w:sz w:val="32"/>
                <w:szCs w:val="32"/>
              </w:rPr>
              <w:t>ân</w:t>
            </w:r>
          </w:p>
        </w:tc>
      </w:tr>
    </w:tbl>
    <w:p w:rsidR="00CE3238" w:rsidRPr="00CE3238" w:rsidRDefault="00CE3238" w:rsidP="00CE3238">
      <w:pPr>
        <w:jc w:val="right"/>
        <w:rPr>
          <w:color w:val="7F7F7F"/>
          <w:sz w:val="32"/>
          <w:szCs w:val="32"/>
        </w:rPr>
      </w:pPr>
    </w:p>
    <w:p w:rsidR="00CE3238" w:rsidRPr="00CE3238" w:rsidRDefault="00CE3238" w:rsidP="00CE3238">
      <w:r w:rsidRPr="00E253B6">
        <w:rPr>
          <w:noProof/>
          <w:color w:val="C4BC96"/>
          <w:sz w:val="32"/>
          <w:szCs w:val="32"/>
          <w:lang w:eastAsia="en-US"/>
        </w:rPr>
        <w:pict>
          <v:rect id="_x0000_s1030" style="position:absolute;margin-left:0;margin-top:0;width:535.65pt;height:76.6pt;z-index:251658240;mso-width-percent:900;mso-position-horizontal:center;mso-position-horizontal-relative:page;mso-position-vertical:center;mso-position-vertical-relative:page;mso-width-percent:900" o:allowincell="f" fillcolor="#a5a5a5" stroked="f">
            <v:fill opacity="58982f"/>
            <v:textbox style="mso-next-textbox:#_x0000_s1030" inset="18pt,0,18pt,0">
              <w:txbxContent>
                <w:tbl>
                  <w:tblPr>
                    <w:tblW w:w="5000" w:type="pct"/>
                    <w:tblCellMar>
                      <w:left w:w="360" w:type="dxa"/>
                      <w:right w:w="360" w:type="dxa"/>
                    </w:tblCellMar>
                    <w:tblLook w:val="04A0"/>
                  </w:tblPr>
                  <w:tblGrid>
                    <w:gridCol w:w="2760"/>
                    <w:gridCol w:w="7968"/>
                  </w:tblGrid>
                  <w:tr w:rsidR="00CE3238" w:rsidRPr="00344919" w:rsidTr="00855F53">
                    <w:trPr>
                      <w:trHeight w:val="1080"/>
                    </w:trPr>
                    <w:tc>
                      <w:tcPr>
                        <w:tcW w:w="1000" w:type="pct"/>
                        <w:shd w:val="clear" w:color="auto" w:fill="000000"/>
                        <w:vAlign w:val="center"/>
                      </w:tcPr>
                      <w:p w:rsidR="00CE3238" w:rsidRPr="00344919" w:rsidRDefault="00CE3238" w:rsidP="003F777D">
                        <w:pPr>
                          <w:rPr>
                            <w:smallCaps/>
                            <w:sz w:val="48"/>
                            <w:szCs w:val="48"/>
                          </w:rPr>
                        </w:pPr>
                        <w:r w:rsidRPr="00344919">
                          <w:rPr>
                            <w:smallCaps/>
                            <w:noProof/>
                            <w:sz w:val="48"/>
                            <w:szCs w:val="48"/>
                          </w:rPr>
                          <w:drawing>
                            <wp:inline distT="0" distB="0" distL="0" distR="0">
                              <wp:extent cx="1275080" cy="958215"/>
                              <wp:effectExtent l="19050" t="0" r="1270" b="0"/>
                              <wp:docPr id="5"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CE3238" w:rsidRPr="003F777D" w:rsidRDefault="00CE3238" w:rsidP="003F777D">
                        <w:pPr>
                          <w:pStyle w:val="Sansinterligne"/>
                          <w:rPr>
                            <w:b/>
                            <w:bCs/>
                            <w:color w:val="FFFFFF" w:themeColor="background1"/>
                            <w:sz w:val="34"/>
                            <w:szCs w:val="34"/>
                          </w:rPr>
                        </w:pPr>
                        <w:r w:rsidRPr="003F777D">
                          <w:rPr>
                            <w:b/>
                            <w:bCs/>
                            <w:color w:val="FFFFFF" w:themeColor="background1"/>
                            <w:sz w:val="34"/>
                            <w:szCs w:val="34"/>
                          </w:rPr>
                          <w:t xml:space="preserve">Le consensus [Ijma‘] sur l’interdiction de manger la viande </w:t>
                        </w:r>
                        <w:r w:rsidR="003F777D" w:rsidRPr="003F777D">
                          <w:rPr>
                            <w:b/>
                            <w:bCs/>
                            <w:color w:val="FFFFFF" w:themeColor="background1"/>
                            <w:sz w:val="34"/>
                            <w:szCs w:val="34"/>
                          </w:rPr>
                          <w:t>sacrifiée</w:t>
                        </w:r>
                        <w:r w:rsidRPr="003F777D">
                          <w:rPr>
                            <w:b/>
                            <w:bCs/>
                            <w:color w:val="FFFFFF" w:themeColor="background1"/>
                            <w:sz w:val="34"/>
                            <w:szCs w:val="34"/>
                          </w:rPr>
                          <w:t xml:space="preserve"> rituellement </w:t>
                        </w:r>
                        <w:r w:rsidR="003F777D" w:rsidRPr="003F777D">
                          <w:rPr>
                            <w:b/>
                            <w:bCs/>
                            <w:color w:val="FFFFFF" w:themeColor="background1"/>
                            <w:sz w:val="34"/>
                            <w:szCs w:val="34"/>
                          </w:rPr>
                          <w:t>par</w:t>
                        </w:r>
                        <w:r w:rsidRPr="003F777D">
                          <w:rPr>
                            <w:b/>
                            <w:bCs/>
                            <w:color w:val="FFFFFF" w:themeColor="background1"/>
                            <w:sz w:val="34"/>
                            <w:szCs w:val="34"/>
                          </w:rPr>
                          <w:t xml:space="preserve"> l’apostat [al-Mourtâd] et l’associateur [al-Moushrîk] </w:t>
                        </w:r>
                      </w:p>
                    </w:tc>
                  </w:tr>
                </w:tbl>
                <w:p w:rsidR="00CE3238" w:rsidRPr="00344919" w:rsidRDefault="00CE3238" w:rsidP="00CE3238">
                  <w:pPr>
                    <w:pStyle w:val="Sansinterligne"/>
                    <w:spacing w:line="14" w:lineRule="exact"/>
                    <w:rPr>
                      <w:sz w:val="48"/>
                      <w:szCs w:val="48"/>
                    </w:rPr>
                  </w:pPr>
                </w:p>
              </w:txbxContent>
            </v:textbox>
            <w10:wrap anchorx="page" anchory="page"/>
          </v:rect>
        </w:pict>
      </w:r>
      <w:r w:rsidRPr="00CE3238">
        <w:br w:type="page"/>
      </w:r>
    </w:p>
    <w:p w:rsidR="00CE3238" w:rsidRPr="00CE3238" w:rsidRDefault="00CE3238" w:rsidP="00CE3238">
      <w:pPr>
        <w:jc w:val="center"/>
      </w:pPr>
      <w:r>
        <w:rPr>
          <w:noProof/>
        </w:rPr>
        <w:lastRenderedPageBreak/>
        <w:drawing>
          <wp:inline distT="0" distB="0" distL="0" distR="0">
            <wp:extent cx="1581150" cy="1600200"/>
            <wp:effectExtent l="19050" t="0" r="0" b="0"/>
            <wp:docPr id="1" name="Image 0" descr="bismil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Lah.jpg"/>
                    <pic:cNvPicPr/>
                  </pic:nvPicPr>
                  <pic:blipFill>
                    <a:blip r:embed="rId8" cstate="print"/>
                    <a:stretch>
                      <a:fillRect/>
                    </a:stretch>
                  </pic:blipFill>
                  <pic:spPr>
                    <a:xfrm>
                      <a:off x="0" y="0"/>
                      <a:ext cx="1581150" cy="1600200"/>
                    </a:xfrm>
                    <a:prstGeom prst="rect">
                      <a:avLst/>
                    </a:prstGeom>
                  </pic:spPr>
                </pic:pic>
              </a:graphicData>
            </a:graphic>
          </wp:inline>
        </w:drawing>
      </w:r>
    </w:p>
    <w:p w:rsidR="00FD4AC0" w:rsidRDefault="00FD4AC0"/>
    <w:p w:rsidR="003F777D" w:rsidRPr="003F777D" w:rsidRDefault="00FD4AC0" w:rsidP="003F777D">
      <w:pPr>
        <w:pStyle w:val="Sansinterligne"/>
      </w:pPr>
      <w:r>
        <w:rPr>
          <w:rStyle w:val="lev"/>
        </w:rPr>
        <w:t> </w:t>
      </w:r>
      <w:r w:rsidRPr="003F777D">
        <w:t xml:space="preserve">Celui qui, au sujet des viandes sacrifiées par le païen et l’apostat, déduit qu’elles peuvent être licites en vertu de ce qu’a dit le Très-Haut : </w:t>
      </w:r>
    </w:p>
    <w:p w:rsidR="003F777D" w:rsidRPr="003F777D" w:rsidRDefault="003F777D" w:rsidP="003F777D">
      <w:pPr>
        <w:pStyle w:val="Sansinterligne"/>
      </w:pPr>
    </w:p>
    <w:p w:rsidR="003F777D" w:rsidRPr="003F777D" w:rsidRDefault="00FD4AC0" w:rsidP="003F777D">
      <w:pPr>
        <w:pStyle w:val="Sansinterligne"/>
        <w:jc w:val="center"/>
        <w:rPr>
          <w:b/>
          <w:bCs/>
        </w:rPr>
      </w:pPr>
      <w:r w:rsidRPr="003F777D">
        <w:rPr>
          <w:rStyle w:val="lev"/>
          <w:b w:val="0"/>
          <w:bCs w:val="0"/>
        </w:rPr>
        <w:t>« </w:t>
      </w:r>
      <w:r w:rsidRPr="003F777D">
        <w:rPr>
          <w:rStyle w:val="lev"/>
          <w:color w:val="FF0000"/>
        </w:rPr>
        <w:t>Mangez donc de ce sur quoi on a prononcé le nom d’Allah […]</w:t>
      </w:r>
      <w:r w:rsidRPr="003F777D">
        <w:rPr>
          <w:rStyle w:val="lev"/>
          <w:b w:val="0"/>
          <w:bCs w:val="0"/>
        </w:rPr>
        <w:t> »</w:t>
      </w:r>
    </w:p>
    <w:p w:rsidR="003F777D" w:rsidRPr="003F777D" w:rsidRDefault="00FD4AC0" w:rsidP="003F777D">
      <w:pPr>
        <w:pStyle w:val="Sansinterligne"/>
        <w:jc w:val="center"/>
      </w:pPr>
      <w:r w:rsidRPr="003F777D">
        <w:t>(Sourate 6, verset 118) ;</w:t>
      </w:r>
    </w:p>
    <w:p w:rsidR="003F777D" w:rsidRPr="003F777D" w:rsidRDefault="003F777D" w:rsidP="003F777D">
      <w:pPr>
        <w:pStyle w:val="Sansinterligne"/>
      </w:pPr>
    </w:p>
    <w:p w:rsidR="003F777D" w:rsidRDefault="003F777D" w:rsidP="003F777D">
      <w:pPr>
        <w:pStyle w:val="Sansinterligne"/>
      </w:pPr>
      <w:r w:rsidRPr="003F777D">
        <w:t>I</w:t>
      </w:r>
      <w:r w:rsidR="00FD4AC0" w:rsidRPr="003F777D">
        <w:t xml:space="preserve">l fait partie des pires ignorants du Livre d’Allah, et de la Sunna de Son Envoyé </w:t>
      </w:r>
      <w:r>
        <w:rPr>
          <w:rFonts w:asciiTheme="majorBidi" w:hAnsiTheme="majorBidi" w:cstheme="majorBidi"/>
        </w:rPr>
        <w:t>-</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sall</w:t>
      </w:r>
      <w:r>
        <w:rPr>
          <w:rFonts w:asciiTheme="majorBidi" w:hAnsiTheme="majorBidi" w:cstheme="majorBidi"/>
          <w:i/>
          <w:iCs/>
        </w:rPr>
        <w:t>â</w:t>
      </w:r>
      <w:r w:rsidRPr="00A429C4">
        <w:rPr>
          <w:rFonts w:asciiTheme="majorBidi" w:hAnsiTheme="majorBidi" w:cstheme="majorBidi"/>
          <w:i/>
          <w:iCs/>
        </w:rPr>
        <w:t>m</w:t>
      </w:r>
      <w:proofErr w:type="spellEnd"/>
      <w:r>
        <w:rPr>
          <w:rFonts w:asciiTheme="majorBidi" w:hAnsiTheme="majorBidi" w:cstheme="majorBidi"/>
        </w:rPr>
        <w:t>-</w:t>
      </w:r>
      <w:r w:rsidR="00FD4AC0" w:rsidRPr="003F777D">
        <w:t xml:space="preserve">, et du consensus de la communauté. Il est comme celui qui, concernant le fait de se revêtir de soie, conclut que cela est licite en se basant sur ce qu’a dit le Très-Haut : </w:t>
      </w:r>
    </w:p>
    <w:p w:rsidR="003F777D" w:rsidRDefault="003F777D" w:rsidP="003F777D">
      <w:pPr>
        <w:pStyle w:val="Sansinterligne"/>
      </w:pPr>
    </w:p>
    <w:p w:rsidR="003F777D" w:rsidRDefault="00FD4AC0" w:rsidP="003F777D">
      <w:pPr>
        <w:pStyle w:val="Sansinterligne"/>
        <w:jc w:val="center"/>
      </w:pPr>
      <w:r w:rsidRPr="003F777D">
        <w:rPr>
          <w:rStyle w:val="lev"/>
          <w:b w:val="0"/>
          <w:bCs w:val="0"/>
        </w:rPr>
        <w:t>« </w:t>
      </w:r>
      <w:r w:rsidRPr="003F777D">
        <w:rPr>
          <w:rStyle w:val="lev"/>
          <w:color w:val="FF0000"/>
        </w:rPr>
        <w:t>Dis : Qui a interdit la parure d’Allah, […]</w:t>
      </w:r>
      <w:r w:rsidRPr="003F777D">
        <w:rPr>
          <w:rStyle w:val="lev"/>
          <w:b w:val="0"/>
          <w:bCs w:val="0"/>
        </w:rPr>
        <w:t> »</w:t>
      </w:r>
    </w:p>
    <w:p w:rsidR="003F777D" w:rsidRDefault="00FD4AC0" w:rsidP="003F777D">
      <w:pPr>
        <w:pStyle w:val="Sansinterligne"/>
        <w:jc w:val="center"/>
      </w:pPr>
      <w:r w:rsidRPr="003F777D">
        <w:t>(Sourate 7, verset 32)</w:t>
      </w:r>
    </w:p>
    <w:p w:rsidR="003F777D" w:rsidRDefault="003F777D" w:rsidP="003F777D">
      <w:pPr>
        <w:pStyle w:val="Sansinterligne"/>
      </w:pPr>
    </w:p>
    <w:p w:rsidR="00FD4AC0" w:rsidRPr="003F777D" w:rsidRDefault="00FD4AC0" w:rsidP="003F777D">
      <w:pPr>
        <w:pStyle w:val="Sansinterligne"/>
      </w:pPr>
      <w:r w:rsidRPr="003F777D">
        <w:t xml:space="preserve">Et cela à cause de l’ignorance de l’interprétation et des circonstances de la Révélation. La calamité [de cette ignorance] a atteint l’élite du peuple. Qu’en est-il alors de la masse, jusqu’aux gens les plus grossiers ? </w:t>
      </w:r>
    </w:p>
    <w:p w:rsidR="00FD4AC0" w:rsidRPr="003F777D" w:rsidRDefault="00FD4AC0" w:rsidP="003F777D">
      <w:pPr>
        <w:pStyle w:val="Sansinterligne"/>
      </w:pPr>
      <w:r w:rsidRPr="003F777D">
        <w:t xml:space="preserve">  </w:t>
      </w:r>
    </w:p>
    <w:p w:rsidR="00FD4AC0" w:rsidRPr="003F777D" w:rsidRDefault="00FD4AC0" w:rsidP="003F777D">
      <w:pPr>
        <w:pStyle w:val="Sansinterligne"/>
      </w:pPr>
      <w:r w:rsidRPr="003F777D">
        <w:t xml:space="preserve">Sache que le verset du Très-Haut : </w:t>
      </w:r>
      <w:r w:rsidRPr="003F777D">
        <w:rPr>
          <w:rStyle w:val="lev"/>
          <w:b w:val="0"/>
          <w:bCs w:val="0"/>
        </w:rPr>
        <w:t>« </w:t>
      </w:r>
      <w:r w:rsidRPr="003F777D">
        <w:rPr>
          <w:rStyle w:val="lev"/>
          <w:color w:val="FF0000"/>
        </w:rPr>
        <w:t>[…] Vous est permise la nourriture des gens du Livre […]</w:t>
      </w:r>
      <w:r w:rsidRPr="003F777D">
        <w:rPr>
          <w:rStyle w:val="lev"/>
          <w:b w:val="0"/>
          <w:bCs w:val="0"/>
        </w:rPr>
        <w:t> »</w:t>
      </w:r>
      <w:r w:rsidR="003F777D">
        <w:rPr>
          <w:rStyle w:val="Appelnotedebasdep"/>
        </w:rPr>
        <w:footnoteReference w:id="1"/>
      </w:r>
      <w:r w:rsidRPr="003F777D">
        <w:t xml:space="preserve"> a été commenté comme concernant la licéité des viandes sacrifiées, car ce sont elles qui sont désignées par “nourriture”. La signification de ce verset est l’interdiction des viandes sacrifiées par tout autre que les gens du Livre parmi les mécréants et les </w:t>
      </w:r>
      <w:proofErr w:type="spellStart"/>
      <w:r w:rsidRPr="003F777D">
        <w:t>associateurs</w:t>
      </w:r>
      <w:proofErr w:type="spellEnd"/>
      <w:r w:rsidRPr="003F777D">
        <w:t xml:space="preserve">. C’est ce qu’ont démontré les savants. Or, les significations que renferment les paroles d’Allah, et les paroles de Son prophète sont des preuves légales. </w:t>
      </w:r>
    </w:p>
    <w:p w:rsidR="00FD4AC0" w:rsidRPr="003F777D" w:rsidRDefault="00FD4AC0" w:rsidP="003F777D">
      <w:pPr>
        <w:pStyle w:val="Sansinterligne"/>
      </w:pPr>
      <w:r w:rsidRPr="003F777D">
        <w:t xml:space="preserve">  </w:t>
      </w:r>
    </w:p>
    <w:p w:rsidR="00FD4AC0" w:rsidRPr="003F777D" w:rsidRDefault="00FD4AC0" w:rsidP="003F777D">
      <w:pPr>
        <w:pStyle w:val="Sansinterligne"/>
      </w:pPr>
      <w:r w:rsidRPr="003F777D">
        <w:t xml:space="preserve">Dans leurs commentaires sur l’interprétation du verset : </w:t>
      </w:r>
      <w:r w:rsidRPr="003F777D">
        <w:rPr>
          <w:rStyle w:val="lev"/>
          <w:b w:val="0"/>
          <w:bCs w:val="0"/>
        </w:rPr>
        <w:t>« </w:t>
      </w:r>
      <w:r w:rsidRPr="003F777D">
        <w:rPr>
          <w:rStyle w:val="lev"/>
          <w:color w:val="FF0000"/>
        </w:rPr>
        <w:t>Mangez donc de ce sur quoi on a prononcé le nom d’Allah […]</w:t>
      </w:r>
      <w:r w:rsidRPr="003F777D">
        <w:rPr>
          <w:rStyle w:val="lev"/>
          <w:b w:val="0"/>
          <w:bCs w:val="0"/>
        </w:rPr>
        <w:t> »</w:t>
      </w:r>
      <w:r w:rsidR="003F777D">
        <w:rPr>
          <w:rStyle w:val="Appelnotedebasdep"/>
        </w:rPr>
        <w:footnoteReference w:id="2"/>
      </w:r>
      <w:r w:rsidRPr="003F777D">
        <w:t>, ils ont conclu que cela sous-entendait : les viandes sacrifiées par le Musulman et celui qui appartient au peuple du Livre, tant que le nom d’Allah est invoqué sur elles, conformément au sens de la sourate de la Table Servie (</w:t>
      </w:r>
      <w:proofErr w:type="spellStart"/>
      <w:r w:rsidRPr="003F777D">
        <w:rPr>
          <w:i/>
          <w:iCs/>
        </w:rPr>
        <w:t>al-Ma’ida</w:t>
      </w:r>
      <w:proofErr w:type="spellEnd"/>
      <w:r w:rsidRPr="003F777D">
        <w:t xml:space="preserve">). Voilà qui est généralement admis et attesté. On trouve dans ce registre d’autres propos et démonstrations certifiant cela, mais qui n’ont certes pas une telle autorité [que le Coran et la Sunna]. </w:t>
      </w:r>
    </w:p>
    <w:p w:rsidR="00FD4AC0" w:rsidRPr="003F777D" w:rsidRDefault="00FD4AC0" w:rsidP="003F777D">
      <w:pPr>
        <w:pStyle w:val="Sansinterligne"/>
      </w:pPr>
      <w:r w:rsidRPr="003F777D">
        <w:t xml:space="preserve">  </w:t>
      </w:r>
    </w:p>
    <w:p w:rsidR="00FD4AC0" w:rsidRPr="003F777D" w:rsidRDefault="00FD4AC0" w:rsidP="003F777D">
      <w:pPr>
        <w:pStyle w:val="Sansinterligne"/>
      </w:pPr>
      <w:r w:rsidRPr="003F777D">
        <w:t xml:space="preserve">Certains importants juristes ont mentionné que la sagesse dans le fait de restreindre l’autorisation des viandes sacrifiées, aux gens du Livre, c’est qu’ils invoquent sur elles le nom d’Allah, et n’invoquent aucun autre objet de vénération tandis qu’ils s’apprêtent à manger ou à sacrifier de la viande. </w:t>
      </w:r>
    </w:p>
    <w:p w:rsidR="00FD4AC0" w:rsidRPr="003F777D" w:rsidRDefault="00FD4AC0" w:rsidP="003F777D">
      <w:pPr>
        <w:pStyle w:val="Sansinterligne"/>
      </w:pPr>
      <w:r w:rsidRPr="003F777D">
        <w:lastRenderedPageBreak/>
        <w:t xml:space="preserve">  </w:t>
      </w:r>
    </w:p>
    <w:p w:rsidR="003F777D" w:rsidRDefault="00FD4AC0" w:rsidP="003F777D">
      <w:pPr>
        <w:pStyle w:val="Sansinterligne"/>
      </w:pPr>
      <w:r w:rsidRPr="003F777D">
        <w:t>Quant à ce qu’ils ont sacrifié dans le vœu de se rapprocher d’autre qu’Allah, c’est illicite, et quand bien même ils auraient invoqué sur elle le nom d’Allah. C’est-à-dire que cela ne constitue pas un sacrifice rituel. Ils ont donc évoqué l’interdiction de viandes sacrifiées par l’</w:t>
      </w:r>
      <w:proofErr w:type="spellStart"/>
      <w:r w:rsidRPr="003F777D">
        <w:t>associateur</w:t>
      </w:r>
      <w:proofErr w:type="spellEnd"/>
      <w:r w:rsidRPr="003F777D">
        <w:t>, hormis les gens du Livre car celui-ci n’a pas pour usage d’invoquer le nom d’Allah et considère licites les viandes mortes.</w:t>
      </w:r>
      <w:r w:rsidR="003F777D">
        <w:rPr>
          <w:rStyle w:val="Appelnotedebasdep"/>
        </w:rPr>
        <w:footnoteReference w:id="3"/>
      </w:r>
      <w:r w:rsidRPr="003F777D">
        <w:t xml:space="preserve"> </w:t>
      </w:r>
    </w:p>
    <w:p w:rsidR="003F777D" w:rsidRDefault="003F777D" w:rsidP="003F777D">
      <w:pPr>
        <w:pStyle w:val="Sansinterligne"/>
      </w:pPr>
    </w:p>
    <w:p w:rsidR="003F777D" w:rsidRDefault="00FD4AC0" w:rsidP="003F777D">
      <w:pPr>
        <w:pStyle w:val="Sansinterligne"/>
      </w:pPr>
      <w:r w:rsidRPr="003F777D">
        <w:t>[…]</w:t>
      </w:r>
    </w:p>
    <w:p w:rsidR="003F777D" w:rsidRDefault="003F777D" w:rsidP="003F777D">
      <w:pPr>
        <w:pStyle w:val="Sansinterligne"/>
      </w:pPr>
    </w:p>
    <w:p w:rsidR="00FD4AC0" w:rsidRPr="003F777D" w:rsidRDefault="00FD4AC0" w:rsidP="003F777D">
      <w:pPr>
        <w:pStyle w:val="Sansinterligne"/>
      </w:pPr>
      <w:r w:rsidRPr="003F777D">
        <w:t xml:space="preserve"> Donc, celui qui dit que les viandes sacrifiées par l’</w:t>
      </w:r>
      <w:proofErr w:type="spellStart"/>
      <w:r w:rsidRPr="003F777D">
        <w:t>associateur</w:t>
      </w:r>
      <w:proofErr w:type="spellEnd"/>
      <w:r w:rsidRPr="003F777D">
        <w:t xml:space="preserve"> sont autorisées, tant que sur </w:t>
      </w:r>
      <w:proofErr w:type="gramStart"/>
      <w:r w:rsidRPr="003F777D">
        <w:t xml:space="preserve">elles, </w:t>
      </w:r>
      <w:r w:rsidR="003F777D">
        <w:t xml:space="preserve"> </w:t>
      </w:r>
      <w:r w:rsidRPr="003F777D">
        <w:t>a</w:t>
      </w:r>
      <w:proofErr w:type="gramEnd"/>
      <w:r w:rsidRPr="003F777D">
        <w:t xml:space="preserve"> été invoqué le nom d’Allah, ce qu’il dit relève de l’ignorance et sort de la juste voie des croyants. » </w:t>
      </w:r>
    </w:p>
    <w:p w:rsidR="00FD4AC0" w:rsidRDefault="00FD4AC0" w:rsidP="003F777D">
      <w:pPr>
        <w:pStyle w:val="Sansinterligne"/>
      </w:pPr>
      <w:r>
        <w:t xml:space="preserve">  </w:t>
      </w:r>
    </w:p>
    <w:p w:rsidR="003F777D" w:rsidRDefault="003F777D" w:rsidP="003F777D">
      <w:pPr>
        <w:pStyle w:val="Sansinterligne"/>
      </w:pPr>
    </w:p>
    <w:p w:rsidR="00FD4AC0" w:rsidRDefault="003F777D" w:rsidP="003F777D">
      <w:pPr>
        <w:pStyle w:val="Sansinterligne"/>
      </w:pPr>
      <w:r w:rsidRPr="003F777D">
        <w:rPr>
          <w:b/>
          <w:bCs/>
          <w:u w:val="single"/>
        </w:rPr>
        <w:t>Source</w:t>
      </w:r>
      <w:r>
        <w:t xml:space="preserve"> : </w:t>
      </w:r>
      <w:proofErr w:type="spellStart"/>
      <w:r w:rsidR="00FD4AC0">
        <w:t>Ouyoun</w:t>
      </w:r>
      <w:proofErr w:type="spellEnd"/>
      <w:r w:rsidR="00FD4AC0">
        <w:t xml:space="preserve"> </w:t>
      </w:r>
      <w:proofErr w:type="spellStart"/>
      <w:r w:rsidR="00FD4AC0">
        <w:t>ar-Rassa’il</w:t>
      </w:r>
      <w:proofErr w:type="spellEnd"/>
      <w:r w:rsidR="00FD4AC0">
        <w:t xml:space="preserve"> </w:t>
      </w:r>
      <w:proofErr w:type="spellStart"/>
      <w:r w:rsidR="00FD4AC0">
        <w:t>wa</w:t>
      </w:r>
      <w:proofErr w:type="spellEnd"/>
      <w:r w:rsidR="00FD4AC0">
        <w:t xml:space="preserve"> al-</w:t>
      </w:r>
      <w:proofErr w:type="spellStart"/>
      <w:r w:rsidR="00FD4AC0">
        <w:t>Ajwiba</w:t>
      </w:r>
      <w:proofErr w:type="spellEnd"/>
      <w:r w:rsidR="00FD4AC0">
        <w:t xml:space="preserve"> ‘</w:t>
      </w:r>
      <w:proofErr w:type="spellStart"/>
      <w:r w:rsidR="00FD4AC0">
        <w:t>ala</w:t>
      </w:r>
      <w:proofErr w:type="spellEnd"/>
      <w:r w:rsidR="00FD4AC0">
        <w:t xml:space="preserve"> </w:t>
      </w:r>
      <w:proofErr w:type="spellStart"/>
      <w:r w:rsidR="00FD4AC0">
        <w:t>al-Massa’il</w:t>
      </w:r>
      <w:proofErr w:type="spellEnd"/>
      <w:r>
        <w:t>, tome</w:t>
      </w:r>
      <w:r w:rsidR="00FD4AC0">
        <w:t xml:space="preserve"> 2</w:t>
      </w:r>
      <w:r>
        <w:t xml:space="preserve">, page </w:t>
      </w:r>
      <w:r w:rsidR="00FD4AC0">
        <w:t xml:space="preserve">609 ;  et aussi dans  </w:t>
      </w:r>
      <w:proofErr w:type="spellStart"/>
      <w:r w:rsidR="00FD4AC0">
        <w:t>Madjmou‘at</w:t>
      </w:r>
      <w:proofErr w:type="spellEnd"/>
      <w:r w:rsidR="00FD4AC0">
        <w:t xml:space="preserve"> </w:t>
      </w:r>
      <w:proofErr w:type="spellStart"/>
      <w:r w:rsidR="00FD4AC0">
        <w:t>ar-Rassa’il</w:t>
      </w:r>
      <w:proofErr w:type="spellEnd"/>
      <w:r w:rsidR="00FD4AC0">
        <w:t xml:space="preserve"> </w:t>
      </w:r>
      <w:proofErr w:type="spellStart"/>
      <w:r w:rsidR="00FD4AC0">
        <w:t>wa</w:t>
      </w:r>
      <w:proofErr w:type="spellEnd"/>
      <w:r w:rsidR="00FD4AC0">
        <w:t xml:space="preserve"> </w:t>
      </w:r>
      <w:proofErr w:type="spellStart"/>
      <w:r w:rsidR="00FD4AC0">
        <w:t>al-Massa’il</w:t>
      </w:r>
      <w:proofErr w:type="spellEnd"/>
      <w:r w:rsidR="00FD4AC0">
        <w:t xml:space="preserve"> an-</w:t>
      </w:r>
      <w:proofErr w:type="spellStart"/>
      <w:r w:rsidR="00FD4AC0">
        <w:t>Najdiya</w:t>
      </w:r>
      <w:proofErr w:type="spellEnd"/>
      <w:r>
        <w:t>, tome</w:t>
      </w:r>
      <w:r w:rsidR="00FD4AC0">
        <w:t xml:space="preserve"> 3</w:t>
      </w:r>
      <w:r>
        <w:t xml:space="preserve">, page </w:t>
      </w:r>
      <w:r w:rsidR="00FD4AC0">
        <w:t>313</w:t>
      </w:r>
      <w:r>
        <w:t>.</w:t>
      </w:r>
      <w:r w:rsidR="00FD4AC0">
        <w:t xml:space="preserve"> </w:t>
      </w:r>
    </w:p>
    <w:p w:rsidR="00FD4AC0" w:rsidRDefault="00FD4AC0" w:rsidP="003F777D">
      <w:pPr>
        <w:pStyle w:val="Sansinterligne"/>
      </w:pPr>
    </w:p>
    <w:sectPr w:rsidR="00FD4AC0" w:rsidSect="00CE3238">
      <w:footerReference w:type="default" r:id="rId9"/>
      <w:pgSz w:w="11906" w:h="16838" w:code="9"/>
      <w:pgMar w:top="1417" w:right="1417" w:bottom="1417" w:left="1417"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BC4" w:rsidRDefault="009D5BC4" w:rsidP="00CE3238">
      <w:r>
        <w:separator/>
      </w:r>
    </w:p>
  </w:endnote>
  <w:endnote w:type="continuationSeparator" w:id="0">
    <w:p w:rsidR="009D5BC4" w:rsidRDefault="009D5BC4" w:rsidP="00CE3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eastAsiaTheme="majorEastAsia" w:hAnsiTheme="majorBidi" w:cstheme="majorBidi"/>
        <w:sz w:val="26"/>
        <w:szCs w:val="26"/>
      </w:rPr>
      <w:id w:val="4509002"/>
      <w:docPartObj>
        <w:docPartGallery w:val="Page Numbers (Bottom of Page)"/>
        <w:docPartUnique/>
      </w:docPartObj>
    </w:sdtPr>
    <w:sdtEndPr>
      <w:rPr>
        <w:rFonts w:asciiTheme="majorHAnsi" w:hAnsiTheme="majorHAnsi"/>
        <w:sz w:val="24"/>
        <w:szCs w:val="24"/>
      </w:rPr>
    </w:sdtEndPr>
    <w:sdtContent>
      <w:p w:rsidR="00CE3238" w:rsidRPr="00595CA1" w:rsidRDefault="00CE3238" w:rsidP="00CE3238">
        <w:pPr>
          <w:pStyle w:val="Pieddepage"/>
          <w:jc w:val="center"/>
          <w:rPr>
            <w:rFonts w:asciiTheme="majorBidi" w:hAnsiTheme="majorBidi" w:cstheme="majorBidi"/>
            <w:b/>
            <w:bCs/>
            <w:sz w:val="26"/>
            <w:szCs w:val="26"/>
          </w:rPr>
        </w:pPr>
        <w:r w:rsidRPr="00595CA1">
          <w:rPr>
            <w:rFonts w:asciiTheme="majorBidi" w:hAnsiTheme="majorBidi" w:cstheme="majorBidi"/>
            <w:b/>
            <w:bCs/>
            <w:sz w:val="26"/>
            <w:szCs w:val="26"/>
          </w:rPr>
          <w:t xml:space="preserve"> </w:t>
        </w:r>
        <w:sdt>
          <w:sdtPr>
            <w:rPr>
              <w:rFonts w:asciiTheme="majorBidi" w:hAnsiTheme="majorBidi" w:cstheme="majorBidi"/>
              <w:b/>
              <w:bCs/>
              <w:sz w:val="26"/>
              <w:szCs w:val="26"/>
            </w:rPr>
            <w:id w:val="66406374"/>
            <w:docPartObj>
              <w:docPartGallery w:val="Page Numbers (Bottom of Page)"/>
              <w:docPartUnique/>
            </w:docPartObj>
          </w:sdtPr>
          <w:sdtContent>
            <w:hyperlink r:id="rId1" w:history="1">
              <w:r w:rsidRPr="00595CA1">
                <w:rPr>
                  <w:rStyle w:val="Lienhypertexte"/>
                  <w:rFonts w:asciiTheme="majorBidi" w:hAnsiTheme="majorBidi" w:cstheme="majorBidi"/>
                  <w:b/>
                  <w:bCs/>
                  <w:sz w:val="26"/>
                  <w:szCs w:val="26"/>
                </w:rPr>
                <w:t>http://bibliotheque-islamique-coran-sunna.over-blog.com/</w:t>
              </w:r>
            </w:hyperlink>
          </w:sdtContent>
        </w:sdt>
      </w:p>
      <w:p w:rsidR="00CE3238" w:rsidRDefault="00CE3238" w:rsidP="00CE3238">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2049" style="position:absolute;margin-left:178.15pt;margin-top:18.9pt;width:106.75pt;height:31.2pt;z-index:251658240;mso-position-horizontal-relative:margin;mso-position-vertical-relative:bottom-margin-area;v-text-anchor:middle" fillcolor="#666 [1936]" strokecolor="#666 [1936]" strokeweight="1pt">
              <v:fill color2="#ccc [656]" angle="-45" focusposition="1" focussize="" focus="-50%" type="gradient"/>
              <v:shadow on="t" type="perspective" color="#7f7f7f [1601]" opacity=".5" offset="1pt" offset2="-3pt"/>
              <v:textbox>
                <w:txbxContent>
                  <w:p w:rsidR="00CE3238" w:rsidRPr="007C4FC4" w:rsidRDefault="00CE3238" w:rsidP="00CE3238">
                    <w:pPr>
                      <w:pStyle w:val="Pieddepage"/>
                      <w:jc w:val="center"/>
                      <w:rPr>
                        <w:b/>
                        <w:sz w:val="32"/>
                        <w:szCs w:val="32"/>
                      </w:rPr>
                    </w:pPr>
                    <w:fldSimple w:instr=" PAGE    \* MERGEFORMAT ">
                      <w:r w:rsidR="00E5096B" w:rsidRPr="00E5096B">
                        <w:rPr>
                          <w:b/>
                          <w:noProof/>
                          <w:sz w:val="32"/>
                          <w:szCs w:val="32"/>
                        </w:rPr>
                        <w:t>3</w:t>
                      </w:r>
                    </w:fldSimple>
                  </w:p>
                </w:txbxContent>
              </v:textbox>
              <w10:wrap anchorx="margin" anchory="page"/>
            </v:oval>
          </w:pict>
        </w:r>
      </w:p>
    </w:sdtContent>
  </w:sdt>
  <w:p w:rsidR="00CE3238" w:rsidRDefault="00CE3238" w:rsidP="00CE3238">
    <w:pPr>
      <w:pStyle w:val="Pieddepage"/>
    </w:pPr>
  </w:p>
  <w:p w:rsidR="00CE3238" w:rsidRDefault="00CE323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BC4" w:rsidRDefault="009D5BC4" w:rsidP="00CE3238">
      <w:r>
        <w:separator/>
      </w:r>
    </w:p>
  </w:footnote>
  <w:footnote w:type="continuationSeparator" w:id="0">
    <w:p w:rsidR="009D5BC4" w:rsidRDefault="009D5BC4" w:rsidP="00CE3238">
      <w:r>
        <w:continuationSeparator/>
      </w:r>
    </w:p>
  </w:footnote>
  <w:footnote w:id="1">
    <w:p w:rsidR="003F777D" w:rsidRDefault="003F777D">
      <w:pPr>
        <w:pStyle w:val="Notedebasdepage"/>
      </w:pPr>
      <w:r>
        <w:rPr>
          <w:rStyle w:val="Appelnotedebasdep"/>
        </w:rPr>
        <w:footnoteRef/>
      </w:r>
      <w:r>
        <w:t xml:space="preserve"> </w:t>
      </w:r>
      <w:r w:rsidRPr="003F777D">
        <w:t>Sourate 5, verset 5</w:t>
      </w:r>
      <w:r>
        <w:t>.</w:t>
      </w:r>
    </w:p>
  </w:footnote>
  <w:footnote w:id="2">
    <w:p w:rsidR="003F777D" w:rsidRDefault="003F777D">
      <w:pPr>
        <w:pStyle w:val="Notedebasdepage"/>
      </w:pPr>
      <w:r>
        <w:rPr>
          <w:rStyle w:val="Appelnotedebasdep"/>
        </w:rPr>
        <w:footnoteRef/>
      </w:r>
      <w:r>
        <w:t xml:space="preserve"> </w:t>
      </w:r>
      <w:r w:rsidRPr="003F777D">
        <w:t>Sourate 6, verset 118</w:t>
      </w:r>
      <w:r>
        <w:t>.</w:t>
      </w:r>
    </w:p>
  </w:footnote>
  <w:footnote w:id="3">
    <w:p w:rsidR="003F777D" w:rsidRDefault="003F777D" w:rsidP="003F777D">
      <w:pPr>
        <w:pStyle w:val="Notedebasdepage"/>
      </w:pPr>
      <w:r>
        <w:rPr>
          <w:rStyle w:val="Appelnotedebasdep"/>
        </w:rPr>
        <w:footnoteRef/>
      </w:r>
      <w:r>
        <w:t xml:space="preserve"> Les viandes mortes =</w:t>
      </w:r>
      <w:r w:rsidRPr="003F777D">
        <w:t xml:space="preserve"> charogne ou viandes tuées autrement que par un sacrifice rituel</w:t>
      </w:r>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D4AC0"/>
    <w:rsid w:val="00027B22"/>
    <w:rsid w:val="00044B3B"/>
    <w:rsid w:val="000C0174"/>
    <w:rsid w:val="001044C0"/>
    <w:rsid w:val="00107DEC"/>
    <w:rsid w:val="00152159"/>
    <w:rsid w:val="00155319"/>
    <w:rsid w:val="001C28F7"/>
    <w:rsid w:val="00244602"/>
    <w:rsid w:val="00280909"/>
    <w:rsid w:val="002852C3"/>
    <w:rsid w:val="00300C8F"/>
    <w:rsid w:val="00376300"/>
    <w:rsid w:val="003C1DFB"/>
    <w:rsid w:val="003C21F7"/>
    <w:rsid w:val="003D3DCC"/>
    <w:rsid w:val="003F777D"/>
    <w:rsid w:val="00401A2D"/>
    <w:rsid w:val="00463B17"/>
    <w:rsid w:val="004B08AB"/>
    <w:rsid w:val="00574E95"/>
    <w:rsid w:val="00576D00"/>
    <w:rsid w:val="00584A92"/>
    <w:rsid w:val="005850FE"/>
    <w:rsid w:val="005C627F"/>
    <w:rsid w:val="005D4304"/>
    <w:rsid w:val="005F2C01"/>
    <w:rsid w:val="00610866"/>
    <w:rsid w:val="00616207"/>
    <w:rsid w:val="0067161B"/>
    <w:rsid w:val="00702CE1"/>
    <w:rsid w:val="00704369"/>
    <w:rsid w:val="00741238"/>
    <w:rsid w:val="00762C54"/>
    <w:rsid w:val="00764046"/>
    <w:rsid w:val="0079737A"/>
    <w:rsid w:val="007A55E2"/>
    <w:rsid w:val="007F5F17"/>
    <w:rsid w:val="008514F4"/>
    <w:rsid w:val="008C115B"/>
    <w:rsid w:val="00915D23"/>
    <w:rsid w:val="00932B9E"/>
    <w:rsid w:val="00937064"/>
    <w:rsid w:val="009912A1"/>
    <w:rsid w:val="00994B1C"/>
    <w:rsid w:val="009965BA"/>
    <w:rsid w:val="009A61DA"/>
    <w:rsid w:val="009D5BC4"/>
    <w:rsid w:val="00B1200F"/>
    <w:rsid w:val="00B51E11"/>
    <w:rsid w:val="00BB0B50"/>
    <w:rsid w:val="00BB1EA5"/>
    <w:rsid w:val="00BD7CC8"/>
    <w:rsid w:val="00C53C52"/>
    <w:rsid w:val="00C56B86"/>
    <w:rsid w:val="00CD4EBD"/>
    <w:rsid w:val="00CE3238"/>
    <w:rsid w:val="00D15EBD"/>
    <w:rsid w:val="00DD202E"/>
    <w:rsid w:val="00E5096B"/>
    <w:rsid w:val="00ED292B"/>
    <w:rsid w:val="00ED5324"/>
    <w:rsid w:val="00EE3A29"/>
    <w:rsid w:val="00F15898"/>
    <w:rsid w:val="00FD114A"/>
    <w:rsid w:val="00FD2C78"/>
    <w:rsid w:val="00FD4AC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uiPriority w:val="22"/>
    <w:qFormat/>
    <w:rsid w:val="00576D00"/>
    <w:rPr>
      <w:b/>
      <w:bCs/>
    </w:rPr>
  </w:style>
  <w:style w:type="paragraph" w:styleId="NormalWeb">
    <w:name w:val="Normal (Web)"/>
    <w:basedOn w:val="Normal"/>
    <w:uiPriority w:val="99"/>
    <w:unhideWhenUsed/>
    <w:rsid w:val="00FD4AC0"/>
    <w:pPr>
      <w:spacing w:before="100" w:beforeAutospacing="1" w:after="100" w:afterAutospacing="1"/>
    </w:pPr>
  </w:style>
  <w:style w:type="paragraph" w:styleId="En-tte">
    <w:name w:val="header"/>
    <w:basedOn w:val="Normal"/>
    <w:link w:val="En-tteCar"/>
    <w:uiPriority w:val="99"/>
    <w:semiHidden/>
    <w:unhideWhenUsed/>
    <w:rsid w:val="00CE3238"/>
    <w:pPr>
      <w:tabs>
        <w:tab w:val="center" w:pos="4536"/>
        <w:tab w:val="right" w:pos="9072"/>
      </w:tabs>
    </w:pPr>
  </w:style>
  <w:style w:type="character" w:customStyle="1" w:styleId="En-tteCar">
    <w:name w:val="En-tête Car"/>
    <w:basedOn w:val="Policepardfaut"/>
    <w:link w:val="En-tte"/>
    <w:uiPriority w:val="99"/>
    <w:semiHidden/>
    <w:rsid w:val="00CE3238"/>
    <w:rPr>
      <w:sz w:val="24"/>
      <w:szCs w:val="24"/>
    </w:rPr>
  </w:style>
  <w:style w:type="paragraph" w:styleId="Pieddepage">
    <w:name w:val="footer"/>
    <w:basedOn w:val="Normal"/>
    <w:link w:val="PieddepageCar"/>
    <w:uiPriority w:val="99"/>
    <w:unhideWhenUsed/>
    <w:rsid w:val="00CE3238"/>
    <w:pPr>
      <w:tabs>
        <w:tab w:val="center" w:pos="4536"/>
        <w:tab w:val="right" w:pos="9072"/>
      </w:tabs>
    </w:pPr>
  </w:style>
  <w:style w:type="character" w:customStyle="1" w:styleId="PieddepageCar">
    <w:name w:val="Pied de page Car"/>
    <w:basedOn w:val="Policepardfaut"/>
    <w:link w:val="Pieddepage"/>
    <w:uiPriority w:val="99"/>
    <w:rsid w:val="00CE3238"/>
    <w:rPr>
      <w:sz w:val="24"/>
      <w:szCs w:val="24"/>
    </w:rPr>
  </w:style>
  <w:style w:type="character" w:styleId="Lienhypertexte">
    <w:name w:val="Hyperlink"/>
    <w:basedOn w:val="Policepardfaut"/>
    <w:uiPriority w:val="99"/>
    <w:unhideWhenUsed/>
    <w:rsid w:val="00CE3238"/>
    <w:rPr>
      <w:color w:val="0000FF"/>
      <w:u w:val="single"/>
    </w:rPr>
  </w:style>
  <w:style w:type="character" w:customStyle="1" w:styleId="SansinterligneCar">
    <w:name w:val="Sans interligne Car"/>
    <w:basedOn w:val="Policepardfaut"/>
    <w:link w:val="Sansinterligne"/>
    <w:uiPriority w:val="1"/>
    <w:rsid w:val="00CE3238"/>
    <w:rPr>
      <w:rFonts w:eastAsiaTheme="minorHAnsi" w:cstheme="minorBidi"/>
      <w:sz w:val="24"/>
      <w:szCs w:val="22"/>
      <w:lang w:eastAsia="en-US"/>
    </w:rPr>
  </w:style>
  <w:style w:type="paragraph" w:styleId="Textedebulles">
    <w:name w:val="Balloon Text"/>
    <w:basedOn w:val="Normal"/>
    <w:link w:val="TextedebullesCar"/>
    <w:uiPriority w:val="99"/>
    <w:semiHidden/>
    <w:unhideWhenUsed/>
    <w:rsid w:val="00CE3238"/>
    <w:rPr>
      <w:rFonts w:ascii="Tahoma" w:hAnsi="Tahoma" w:cs="Tahoma"/>
      <w:sz w:val="16"/>
      <w:szCs w:val="16"/>
    </w:rPr>
  </w:style>
  <w:style w:type="character" w:customStyle="1" w:styleId="TextedebullesCar">
    <w:name w:val="Texte de bulles Car"/>
    <w:basedOn w:val="Policepardfaut"/>
    <w:link w:val="Textedebulles"/>
    <w:uiPriority w:val="99"/>
    <w:semiHidden/>
    <w:rsid w:val="00CE3238"/>
    <w:rPr>
      <w:rFonts w:ascii="Tahoma" w:hAnsi="Tahoma" w:cs="Tahoma"/>
      <w:sz w:val="16"/>
      <w:szCs w:val="16"/>
    </w:rPr>
  </w:style>
  <w:style w:type="paragraph" w:styleId="Notedebasdepage">
    <w:name w:val="footnote text"/>
    <w:basedOn w:val="Normal"/>
    <w:link w:val="NotedebasdepageCar"/>
    <w:uiPriority w:val="99"/>
    <w:semiHidden/>
    <w:unhideWhenUsed/>
    <w:rsid w:val="003F777D"/>
    <w:rPr>
      <w:sz w:val="20"/>
      <w:szCs w:val="20"/>
    </w:rPr>
  </w:style>
  <w:style w:type="character" w:customStyle="1" w:styleId="NotedebasdepageCar">
    <w:name w:val="Note de bas de page Car"/>
    <w:basedOn w:val="Policepardfaut"/>
    <w:link w:val="Notedebasdepage"/>
    <w:uiPriority w:val="99"/>
    <w:semiHidden/>
    <w:rsid w:val="003F777D"/>
  </w:style>
  <w:style w:type="character" w:styleId="Appelnotedebasdep">
    <w:name w:val="footnote reference"/>
    <w:basedOn w:val="Policepardfaut"/>
    <w:uiPriority w:val="99"/>
    <w:semiHidden/>
    <w:unhideWhenUsed/>
    <w:rsid w:val="003F777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9CC1F-4DA8-4919-A132-25B06651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477</Words>
  <Characters>2625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2011-07-06T13:30:00Z</cp:lastPrinted>
  <dcterms:created xsi:type="dcterms:W3CDTF">2011-07-06T11:29:00Z</dcterms:created>
  <dcterms:modified xsi:type="dcterms:W3CDTF">2011-07-06T13:30:00Z</dcterms:modified>
</cp:coreProperties>
</file>