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1E" w:rsidRDefault="00B40F1E" w:rsidP="00B40F1E"/>
    <w:p w:rsidR="00B40F1E" w:rsidRDefault="00B40F1E" w:rsidP="00B40F1E"/>
    <w:p w:rsidR="00B40F1E" w:rsidRDefault="00B40F1E" w:rsidP="00B40F1E"/>
    <w:p w:rsidR="00B40F1E" w:rsidRDefault="00B40F1E" w:rsidP="00B40F1E"/>
    <w:p w:rsidR="00B40F1E" w:rsidRDefault="00B40F1E" w:rsidP="00B40F1E"/>
    <w:p w:rsidR="00B40F1E" w:rsidRDefault="00B40F1E" w:rsidP="00B40F1E"/>
    <w:p w:rsidR="00B40F1E" w:rsidRDefault="00B40F1E" w:rsidP="00B40F1E"/>
    <w:p w:rsidR="00B40F1E" w:rsidRDefault="00B40F1E" w:rsidP="00B40F1E"/>
    <w:p w:rsidR="00B40F1E" w:rsidRDefault="00B40F1E" w:rsidP="00B40F1E"/>
    <w:p w:rsidR="00B40F1E" w:rsidRDefault="00B40F1E" w:rsidP="00B40F1E"/>
    <w:p w:rsidR="00B40F1E" w:rsidRDefault="00B40F1E" w:rsidP="00B40F1E"/>
    <w:p w:rsidR="00B40F1E" w:rsidRDefault="00B40F1E" w:rsidP="00B40F1E"/>
    <w:p w:rsidR="00B40F1E" w:rsidRDefault="00B40F1E" w:rsidP="00B40F1E"/>
    <w:p w:rsidR="00B40F1E" w:rsidRDefault="00B40F1E" w:rsidP="00B40F1E"/>
    <w:p w:rsidR="00B40F1E" w:rsidRDefault="00B40F1E" w:rsidP="00B40F1E"/>
    <w:p w:rsidR="00B40F1E" w:rsidRDefault="00B40F1E" w:rsidP="00B40F1E"/>
    <w:p w:rsidR="00B40F1E" w:rsidRDefault="00B40F1E" w:rsidP="00B40F1E"/>
    <w:p w:rsidR="00B40F1E" w:rsidRDefault="00B40F1E" w:rsidP="00B40F1E"/>
    <w:p w:rsidR="00B40F1E" w:rsidRPr="00CE66F6" w:rsidRDefault="00B40F1E" w:rsidP="00B40F1E">
      <w:pPr>
        <w:rPr>
          <w:rFonts w:asciiTheme="majorBidi" w:hAnsiTheme="majorBidi" w:cstheme="majorBidi"/>
        </w:rPr>
      </w:pPr>
    </w:p>
    <w:p w:rsidR="00B40F1E" w:rsidRDefault="00B40F1E" w:rsidP="00B40F1E">
      <w:pPr>
        <w:jc w:val="right"/>
        <w:rPr>
          <w:color w:val="7F7F7F"/>
          <w:sz w:val="32"/>
          <w:szCs w:val="32"/>
        </w:rPr>
      </w:pPr>
      <w:r w:rsidRPr="001C58D4">
        <w:rPr>
          <w:noProof/>
          <w:color w:val="C4BC96"/>
          <w:sz w:val="32"/>
          <w:szCs w:val="32"/>
          <w:lang w:eastAsia="en-US"/>
        </w:rPr>
        <w:pict>
          <v:group id="_x0000_s2050"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2051"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2052"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B40F1E" w:rsidRPr="005A5A19" w:rsidTr="000A58E3">
        <w:tc>
          <w:tcPr>
            <w:tcW w:w="9576" w:type="dxa"/>
          </w:tcPr>
          <w:p w:rsidR="00B40F1E" w:rsidRDefault="00B40F1E" w:rsidP="000A58E3">
            <w:pPr>
              <w:jc w:val="center"/>
              <w:rPr>
                <w:rFonts w:asciiTheme="majorBidi" w:hAnsiTheme="majorBidi" w:cstheme="majorBidi"/>
                <w:b/>
                <w:bCs/>
                <w:i/>
                <w:iCs/>
                <w:color w:val="FFFFFF" w:themeColor="background1"/>
                <w:sz w:val="32"/>
                <w:szCs w:val="32"/>
              </w:rPr>
            </w:pPr>
          </w:p>
          <w:p w:rsidR="00B40F1E" w:rsidRDefault="00B40F1E" w:rsidP="000A58E3">
            <w:pPr>
              <w:jc w:val="center"/>
              <w:rPr>
                <w:rFonts w:asciiTheme="majorBidi" w:hAnsiTheme="majorBidi" w:cstheme="majorBidi"/>
                <w:b/>
                <w:bCs/>
                <w:i/>
                <w:iCs/>
                <w:color w:val="FFFFFF" w:themeColor="background1"/>
                <w:sz w:val="32"/>
                <w:szCs w:val="32"/>
              </w:rPr>
            </w:pPr>
          </w:p>
          <w:p w:rsidR="00B40F1E" w:rsidRPr="005A5A19" w:rsidRDefault="00B40F1E" w:rsidP="00A85761">
            <w:pPr>
              <w:jc w:val="center"/>
              <w:rPr>
                <w:rFonts w:asciiTheme="majorBidi" w:hAnsiTheme="majorBidi" w:cstheme="majorBidi"/>
                <w:b/>
                <w:bCs/>
                <w:i/>
                <w:iCs/>
                <w:color w:val="FFFFFF" w:themeColor="background1"/>
                <w:sz w:val="32"/>
                <w:szCs w:val="32"/>
                <w:lang w:val="en-US"/>
              </w:rPr>
            </w:pPr>
            <w:r w:rsidRPr="005A5A19">
              <w:rPr>
                <w:rFonts w:asciiTheme="majorBidi" w:hAnsiTheme="majorBidi" w:cstheme="majorBidi"/>
                <w:b/>
                <w:bCs/>
                <w:i/>
                <w:iCs/>
                <w:color w:val="FFFFFF" w:themeColor="background1"/>
                <w:sz w:val="32"/>
                <w:szCs w:val="32"/>
                <w:lang w:val="en-US"/>
              </w:rPr>
              <w:t xml:space="preserve">Par l’Imâm </w:t>
            </w:r>
            <w:r w:rsidR="00A85761">
              <w:rPr>
                <w:rFonts w:asciiTheme="majorBidi" w:hAnsiTheme="majorBidi" w:cstheme="majorBidi"/>
                <w:b/>
                <w:bCs/>
                <w:i/>
                <w:iCs/>
                <w:color w:val="FFFFFF" w:themeColor="background1"/>
                <w:sz w:val="32"/>
                <w:szCs w:val="32"/>
                <w:lang w:val="en-US"/>
              </w:rPr>
              <w:t>Al-Qourtoubî</w:t>
            </w:r>
          </w:p>
        </w:tc>
      </w:tr>
    </w:tbl>
    <w:p w:rsidR="00B40F1E" w:rsidRPr="005A5A19" w:rsidRDefault="00B40F1E" w:rsidP="00B40F1E">
      <w:pPr>
        <w:jc w:val="right"/>
        <w:rPr>
          <w:color w:val="7F7F7F"/>
          <w:sz w:val="32"/>
          <w:szCs w:val="32"/>
          <w:lang w:val="en-US"/>
        </w:rPr>
      </w:pPr>
    </w:p>
    <w:p w:rsidR="00B40F1E" w:rsidRPr="005A5A19" w:rsidRDefault="00B40F1E" w:rsidP="00B40F1E">
      <w:pPr>
        <w:rPr>
          <w:lang w:val="en-US"/>
        </w:rPr>
      </w:pPr>
      <w:r w:rsidRPr="001C58D4">
        <w:rPr>
          <w:noProof/>
          <w:color w:val="C4BC96"/>
          <w:sz w:val="32"/>
          <w:szCs w:val="32"/>
          <w:lang w:eastAsia="en-US"/>
        </w:rPr>
        <w:pict>
          <v:rect id="_x0000_s2053"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2053" inset="18pt,0,18pt,0">
              <w:txbxContent>
                <w:tbl>
                  <w:tblPr>
                    <w:tblW w:w="5000" w:type="pct"/>
                    <w:tblCellMar>
                      <w:left w:w="360" w:type="dxa"/>
                      <w:right w:w="360" w:type="dxa"/>
                    </w:tblCellMar>
                    <w:tblLook w:val="04A0"/>
                  </w:tblPr>
                  <w:tblGrid>
                    <w:gridCol w:w="2760"/>
                    <w:gridCol w:w="7968"/>
                  </w:tblGrid>
                  <w:tr w:rsidR="00B40F1E" w:rsidRPr="00344919" w:rsidTr="00855F53">
                    <w:trPr>
                      <w:trHeight w:val="1080"/>
                    </w:trPr>
                    <w:tc>
                      <w:tcPr>
                        <w:tcW w:w="1000" w:type="pct"/>
                        <w:shd w:val="clear" w:color="auto" w:fill="000000"/>
                        <w:vAlign w:val="center"/>
                      </w:tcPr>
                      <w:p w:rsidR="00B40F1E" w:rsidRPr="00344919" w:rsidRDefault="00B40F1E" w:rsidP="00CB7712">
                        <w:pPr>
                          <w:jc w:val="center"/>
                          <w:rPr>
                            <w:smallCaps/>
                            <w:sz w:val="48"/>
                            <w:szCs w:val="48"/>
                          </w:rPr>
                        </w:pPr>
                        <w:r w:rsidRPr="00344919">
                          <w:rPr>
                            <w:smallCaps/>
                            <w:noProof/>
                            <w:sz w:val="48"/>
                            <w:szCs w:val="48"/>
                          </w:rPr>
                          <w:drawing>
                            <wp:inline distT="0" distB="0" distL="0" distR="0">
                              <wp:extent cx="1275080" cy="958215"/>
                              <wp:effectExtent l="19050" t="0" r="127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8"/>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B40F1E" w:rsidRPr="00A85761" w:rsidRDefault="00B40F1E" w:rsidP="00A85761">
                        <w:pPr>
                          <w:pStyle w:val="Sansinterligne"/>
                          <w:rPr>
                            <w:color w:val="FFFFFF" w:themeColor="background1"/>
                            <w:sz w:val="32"/>
                            <w:szCs w:val="36"/>
                          </w:rPr>
                        </w:pPr>
                        <w:r w:rsidRPr="00A85761">
                          <w:rPr>
                            <w:b/>
                            <w:bCs/>
                            <w:color w:val="FFFFFF" w:themeColor="background1"/>
                            <w:sz w:val="32"/>
                            <w:szCs w:val="36"/>
                          </w:rPr>
                          <w:t>Exégèse [Tafsir] : «</w:t>
                        </w:r>
                        <w:r w:rsidRPr="00A85761">
                          <w:rPr>
                            <w:color w:val="FFFFFF" w:themeColor="background1"/>
                            <w:sz w:val="32"/>
                            <w:szCs w:val="36"/>
                          </w:rPr>
                          <w:t> </w:t>
                        </w:r>
                        <w:r w:rsidR="00A85761" w:rsidRPr="00A85761">
                          <w:rPr>
                            <w:rStyle w:val="lev"/>
                            <w:color w:val="FFFFFF" w:themeColor="background1"/>
                            <w:sz w:val="32"/>
                            <w:szCs w:val="36"/>
                          </w:rPr>
                          <w:t>L</w:t>
                        </w:r>
                        <w:r w:rsidRPr="00A85761">
                          <w:rPr>
                            <w:rStyle w:val="lev"/>
                            <w:color w:val="FFFFFF" w:themeColor="background1"/>
                            <w:sz w:val="32"/>
                            <w:szCs w:val="36"/>
                          </w:rPr>
                          <w:t>orsque vous entendez qu’on renie les versets (le Coran) d’Allah</w:t>
                        </w:r>
                        <w:r w:rsidR="00A85761" w:rsidRPr="00A85761">
                          <w:rPr>
                            <w:rStyle w:val="lev"/>
                            <w:color w:val="FFFFFF" w:themeColor="background1"/>
                            <w:sz w:val="32"/>
                            <w:szCs w:val="36"/>
                          </w:rPr>
                          <w:t xml:space="preserve"> et qu'on s'en raille, ne vous asseyez point avec ceux-là</w:t>
                        </w:r>
                        <w:r w:rsidRPr="00A85761">
                          <w:rPr>
                            <w:rStyle w:val="lev"/>
                            <w:color w:val="FFFFFF" w:themeColor="background1"/>
                            <w:sz w:val="32"/>
                            <w:szCs w:val="36"/>
                          </w:rPr>
                          <w:t xml:space="preserve">.. </w:t>
                        </w:r>
                        <w:r w:rsidRPr="00A85761">
                          <w:rPr>
                            <w:b/>
                            <w:bCs/>
                            <w:color w:val="FFFFFF" w:themeColor="background1"/>
                            <w:sz w:val="32"/>
                            <w:szCs w:val="36"/>
                          </w:rPr>
                          <w:t>» ; Sourate 4 [An-Nissâ’], Verset 140</w:t>
                        </w:r>
                      </w:p>
                    </w:tc>
                  </w:tr>
                </w:tbl>
                <w:p w:rsidR="00B40F1E" w:rsidRPr="00344919" w:rsidRDefault="00B40F1E" w:rsidP="00B40F1E">
                  <w:pPr>
                    <w:pStyle w:val="Sansinterligne"/>
                    <w:spacing w:line="14" w:lineRule="exact"/>
                    <w:rPr>
                      <w:sz w:val="48"/>
                      <w:szCs w:val="48"/>
                    </w:rPr>
                  </w:pPr>
                </w:p>
              </w:txbxContent>
            </v:textbox>
            <w10:wrap anchorx="page" anchory="page"/>
          </v:rect>
        </w:pict>
      </w:r>
      <w:r w:rsidRPr="005A5A19">
        <w:rPr>
          <w:lang w:val="en-US"/>
        </w:rPr>
        <w:br w:type="page"/>
      </w:r>
    </w:p>
    <w:p w:rsidR="00B40F1E" w:rsidRDefault="00B40F1E" w:rsidP="00B40F1E">
      <w:pPr>
        <w:pStyle w:val="Titre2"/>
        <w:jc w:val="center"/>
        <w:rPr>
          <w:b w:val="0"/>
          <w:bCs w:val="0"/>
        </w:rPr>
      </w:pPr>
      <w:r>
        <w:rPr>
          <w:b w:val="0"/>
          <w:bCs w:val="0"/>
          <w:noProof/>
        </w:rPr>
        <w:lastRenderedPageBreak/>
        <w:drawing>
          <wp:inline distT="0" distB="0" distL="0" distR="0">
            <wp:extent cx="3810000" cy="1905000"/>
            <wp:effectExtent l="0" t="0" r="0" b="0"/>
            <wp:docPr id="2"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9" cstate="print"/>
                    <a:stretch>
                      <a:fillRect/>
                    </a:stretch>
                  </pic:blipFill>
                  <pic:spPr>
                    <a:xfrm>
                      <a:off x="0" y="0"/>
                      <a:ext cx="3810000" cy="1905000"/>
                    </a:xfrm>
                    <a:prstGeom prst="rect">
                      <a:avLst/>
                    </a:prstGeom>
                  </pic:spPr>
                </pic:pic>
              </a:graphicData>
            </a:graphic>
          </wp:inline>
        </w:drawing>
      </w:r>
    </w:p>
    <w:p w:rsidR="00B40F1E" w:rsidRDefault="00B40F1E" w:rsidP="00B40F1E">
      <w:pPr>
        <w:pStyle w:val="Sansinterligne"/>
        <w:rPr>
          <w:rStyle w:val="Accentuation"/>
          <w:rFonts w:asciiTheme="majorBidi" w:hAnsiTheme="majorBidi" w:cstheme="majorBidi"/>
          <w:i w:val="0"/>
          <w:iCs w:val="0"/>
          <w:color w:val="262626" w:themeColor="text1" w:themeTint="D9"/>
        </w:rPr>
      </w:pP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r w:rsidRPr="00916CDE">
        <w:rPr>
          <w:rFonts w:asciiTheme="majorBidi" w:hAnsiTheme="majorBidi" w:cstheme="majorBidi"/>
          <w:b/>
          <w:bCs/>
          <w:color w:val="262626" w:themeColor="text1" w:themeTint="D9"/>
          <w:sz w:val="32"/>
          <w:szCs w:val="32"/>
        </w:rPr>
        <w:br/>
      </w:r>
      <w:r w:rsidRPr="00916CDE">
        <w:rPr>
          <w:rFonts w:asciiTheme="majorBidi" w:hAnsiTheme="majorBidi" w:cstheme="majorBidi"/>
          <w:color w:val="262626" w:themeColor="text1" w:themeTint="D9"/>
        </w:rPr>
        <w:br/>
      </w:r>
    </w:p>
    <w:p w:rsidR="00B40F1E" w:rsidRPr="00C106C1" w:rsidRDefault="00B40F1E" w:rsidP="00B40F1E">
      <w:pPr>
        <w:pStyle w:val="standard"/>
        <w:bidi/>
        <w:spacing w:before="0" w:beforeAutospacing="0" w:after="0" w:afterAutospacing="0"/>
        <w:jc w:val="center"/>
        <w:rPr>
          <w:rStyle w:val="Accentuation"/>
          <w:i w:val="0"/>
          <w:iCs w:val="0"/>
          <w:sz w:val="32"/>
          <w:szCs w:val="32"/>
        </w:rPr>
      </w:pPr>
      <w:r w:rsidRPr="00C106C1">
        <w:rPr>
          <w:sz w:val="32"/>
          <w:szCs w:val="32"/>
          <w:rtl/>
        </w:rPr>
        <w:t> </w:t>
      </w:r>
      <w:r w:rsidRPr="00C106C1">
        <w:rPr>
          <w:rFonts w:hint="cs"/>
          <w:sz w:val="32"/>
          <w:szCs w:val="32"/>
          <w:rtl/>
        </w:rPr>
        <w:t> </w:t>
      </w:r>
      <w:r w:rsidRPr="00C106C1">
        <w:rPr>
          <w:b/>
          <w:bCs/>
          <w:noProof/>
          <w:color w:val="C00000"/>
          <w:sz w:val="32"/>
          <w:szCs w:val="32"/>
          <w:rtl/>
        </w:rPr>
        <w:drawing>
          <wp:inline distT="0" distB="0" distL="0" distR="0">
            <wp:extent cx="261457" cy="276225"/>
            <wp:effectExtent l="0" t="0" r="5243" b="28575"/>
            <wp:docPr id="3" name="Image 4" descr="http://classic-web.archive.org/web/20040301140936/http:/assabyle.com/images/ismilleys/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ic-web.archive.org/web/20040301140936/http:/assabyle.com/images/ismilleys/open.gif"/>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rot="10800000">
                      <a:off x="0" y="0"/>
                      <a:ext cx="279494" cy="29528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C106C1">
        <w:rPr>
          <w:color w:val="C00000"/>
          <w:sz w:val="32"/>
          <w:szCs w:val="32"/>
          <w:rtl/>
        </w:rPr>
        <w:t xml:space="preserve"> </w:t>
      </w:r>
      <w:r w:rsidRPr="00CE62F6">
        <w:rPr>
          <w:color w:val="FF0000"/>
          <w:spacing w:val="-12"/>
          <w:sz w:val="36"/>
          <w:szCs w:val="36"/>
          <w:rtl/>
        </w:rPr>
        <w:t xml:space="preserve">وَقَدْ نَزَّلَ عَلَيْكُمْ فِي الْكِتَابِ أَنْ إِذَا سَمِعْتُمْ آيَاتِ اللّهِ يُكَفَرُ </w:t>
      </w:r>
      <w:proofErr w:type="spellStart"/>
      <w:r w:rsidRPr="00CE62F6">
        <w:rPr>
          <w:color w:val="FF0000"/>
          <w:spacing w:val="-12"/>
          <w:sz w:val="36"/>
          <w:szCs w:val="36"/>
          <w:rtl/>
        </w:rPr>
        <w:t>بِهَا</w:t>
      </w:r>
      <w:proofErr w:type="spellEnd"/>
      <w:r w:rsidRPr="00CE62F6">
        <w:rPr>
          <w:color w:val="FF0000"/>
          <w:spacing w:val="-12"/>
          <w:sz w:val="36"/>
          <w:szCs w:val="36"/>
          <w:rtl/>
        </w:rPr>
        <w:t xml:space="preserve"> وَيُسْتَهْزَأُ </w:t>
      </w:r>
      <w:proofErr w:type="spellStart"/>
      <w:r w:rsidRPr="00CE62F6">
        <w:rPr>
          <w:color w:val="FF0000"/>
          <w:spacing w:val="-12"/>
          <w:sz w:val="36"/>
          <w:szCs w:val="36"/>
          <w:rtl/>
        </w:rPr>
        <w:t>بِهَا</w:t>
      </w:r>
      <w:proofErr w:type="spellEnd"/>
      <w:r w:rsidRPr="00CE62F6">
        <w:rPr>
          <w:color w:val="FF0000"/>
          <w:spacing w:val="-12"/>
          <w:sz w:val="36"/>
          <w:szCs w:val="36"/>
          <w:rtl/>
        </w:rPr>
        <w:t xml:space="preserve"> فَلاَ تَقْعُدُواْ مَعَهُمْ حَتَّى يَخُوضُواْ فِي حَدِيثٍ غَيْرِهِ إِنَّكُمْ إِذًا مِّثْلُهُمْ إِنَّ اللّهَ جَامِعُ الْمُنَافِقِينَ وَالْكَافِر ِينَ فِي جَهَنَّمَ جَمِيعًا</w:t>
      </w:r>
      <w:r w:rsidRPr="00C106C1">
        <w:rPr>
          <w:noProof/>
          <w:sz w:val="32"/>
          <w:szCs w:val="32"/>
          <w:rtl/>
        </w:rPr>
        <w:drawing>
          <wp:inline distT="0" distB="0" distL="0" distR="0">
            <wp:extent cx="261459" cy="276225"/>
            <wp:effectExtent l="0" t="0" r="0" b="47625"/>
            <wp:docPr id="4" name="Image 4" descr="http://classic-web.archive.org/web/20040301140936/http:/assabyle.com/images/ismilleys/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ic-web.archive.org/web/20040301140936/http:/assabyle.com/images/ismilleys/open.gif"/>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268390" cy="283548"/>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C106C1">
        <w:rPr>
          <w:sz w:val="32"/>
          <w:szCs w:val="32"/>
          <w:rtl/>
        </w:rPr>
        <w:t xml:space="preserve"> </w:t>
      </w:r>
    </w:p>
    <w:p w:rsidR="00B40F1E" w:rsidRDefault="00B40F1E" w:rsidP="00B40F1E">
      <w:pPr>
        <w:pStyle w:val="Sansinterligne"/>
        <w:jc w:val="center"/>
        <w:rPr>
          <w:rStyle w:val="Accentuation"/>
          <w:rFonts w:asciiTheme="majorBidi" w:hAnsiTheme="majorBidi" w:cstheme="majorBidi"/>
          <w:i w:val="0"/>
          <w:iCs w:val="0"/>
          <w:color w:val="262626" w:themeColor="text1" w:themeTint="D9"/>
        </w:rPr>
      </w:pPr>
    </w:p>
    <w:p w:rsidR="00B40F1E" w:rsidRPr="001B4518" w:rsidRDefault="00B40F1E" w:rsidP="00B40F1E">
      <w:pPr>
        <w:pStyle w:val="Default"/>
        <w:jc w:val="center"/>
        <w:rPr>
          <w:rStyle w:val="Accentuation"/>
          <w:i w:val="0"/>
          <w:iCs w:val="0"/>
          <w:sz w:val="23"/>
          <w:szCs w:val="23"/>
        </w:rPr>
      </w:pPr>
      <w:r>
        <w:rPr>
          <w:sz w:val="23"/>
          <w:szCs w:val="23"/>
        </w:rPr>
        <w:t>«</w:t>
      </w:r>
      <w:r w:rsidRPr="00CE62F6">
        <w:rPr>
          <w:b/>
          <w:bCs/>
          <w:color w:val="C00000"/>
          <w:sz w:val="23"/>
          <w:szCs w:val="23"/>
        </w:rPr>
        <w:t xml:space="preserve"> Wa </w:t>
      </w:r>
      <w:proofErr w:type="spellStart"/>
      <w:r w:rsidRPr="00CE62F6">
        <w:rPr>
          <w:b/>
          <w:bCs/>
          <w:color w:val="C00000"/>
          <w:sz w:val="23"/>
          <w:szCs w:val="23"/>
        </w:rPr>
        <w:t>Qad</w:t>
      </w:r>
      <w:proofErr w:type="spellEnd"/>
      <w:r w:rsidRPr="00CE62F6">
        <w:rPr>
          <w:b/>
          <w:bCs/>
          <w:color w:val="C00000"/>
          <w:sz w:val="23"/>
          <w:szCs w:val="23"/>
        </w:rPr>
        <w:t xml:space="preserve"> </w:t>
      </w:r>
      <w:proofErr w:type="spellStart"/>
      <w:r w:rsidRPr="00CE62F6">
        <w:rPr>
          <w:b/>
          <w:bCs/>
          <w:color w:val="C00000"/>
          <w:sz w:val="23"/>
          <w:szCs w:val="23"/>
        </w:rPr>
        <w:t>Nazzala</w:t>
      </w:r>
      <w:proofErr w:type="spellEnd"/>
      <w:r w:rsidRPr="00CE62F6">
        <w:rPr>
          <w:b/>
          <w:bCs/>
          <w:color w:val="C00000"/>
          <w:sz w:val="23"/>
          <w:szCs w:val="23"/>
        </w:rPr>
        <w:t xml:space="preserve"> `</w:t>
      </w:r>
      <w:proofErr w:type="spellStart"/>
      <w:r w:rsidRPr="00CE62F6">
        <w:rPr>
          <w:b/>
          <w:bCs/>
          <w:color w:val="C00000"/>
          <w:sz w:val="23"/>
          <w:szCs w:val="23"/>
        </w:rPr>
        <w:t>Alaykum</w:t>
      </w:r>
      <w:proofErr w:type="spellEnd"/>
      <w:r w:rsidRPr="00CE62F6">
        <w:rPr>
          <w:b/>
          <w:bCs/>
          <w:color w:val="C00000"/>
          <w:sz w:val="23"/>
          <w:szCs w:val="23"/>
        </w:rPr>
        <w:t xml:space="preserve"> </w:t>
      </w:r>
      <w:proofErr w:type="spellStart"/>
      <w:r w:rsidRPr="00CE62F6">
        <w:rPr>
          <w:b/>
          <w:bCs/>
          <w:color w:val="C00000"/>
          <w:sz w:val="23"/>
          <w:szCs w:val="23"/>
        </w:rPr>
        <w:t>Fī</w:t>
      </w:r>
      <w:proofErr w:type="spellEnd"/>
      <w:r w:rsidRPr="00CE62F6">
        <w:rPr>
          <w:b/>
          <w:bCs/>
          <w:color w:val="C00000"/>
          <w:sz w:val="23"/>
          <w:szCs w:val="23"/>
        </w:rPr>
        <w:t xml:space="preserve"> Al-</w:t>
      </w:r>
      <w:proofErr w:type="spellStart"/>
      <w:r w:rsidRPr="00CE62F6">
        <w:rPr>
          <w:b/>
          <w:bCs/>
          <w:color w:val="C00000"/>
          <w:sz w:val="23"/>
          <w:szCs w:val="23"/>
        </w:rPr>
        <w:t>Kitābi</w:t>
      </w:r>
      <w:proofErr w:type="spellEnd"/>
      <w:r w:rsidRPr="00CE62F6">
        <w:rPr>
          <w:b/>
          <w:bCs/>
          <w:color w:val="C00000"/>
          <w:sz w:val="23"/>
          <w:szCs w:val="23"/>
        </w:rPr>
        <w:t xml:space="preserve"> 'An '</w:t>
      </w:r>
      <w:proofErr w:type="spellStart"/>
      <w:r w:rsidRPr="00CE62F6">
        <w:rPr>
          <w:b/>
          <w:bCs/>
          <w:color w:val="C00000"/>
          <w:sz w:val="23"/>
          <w:szCs w:val="23"/>
        </w:rPr>
        <w:t>Idhā</w:t>
      </w:r>
      <w:proofErr w:type="spellEnd"/>
      <w:r w:rsidRPr="00CE62F6">
        <w:rPr>
          <w:b/>
          <w:bCs/>
          <w:color w:val="C00000"/>
          <w:sz w:val="23"/>
          <w:szCs w:val="23"/>
        </w:rPr>
        <w:t xml:space="preserve"> Sami`</w:t>
      </w:r>
      <w:proofErr w:type="spellStart"/>
      <w:r w:rsidRPr="00CE62F6">
        <w:rPr>
          <w:b/>
          <w:bCs/>
          <w:color w:val="C00000"/>
          <w:sz w:val="23"/>
          <w:szCs w:val="23"/>
        </w:rPr>
        <w:t>tum</w:t>
      </w:r>
      <w:proofErr w:type="spellEnd"/>
      <w:r w:rsidRPr="00CE62F6">
        <w:rPr>
          <w:b/>
          <w:bCs/>
          <w:color w:val="C00000"/>
          <w:sz w:val="23"/>
          <w:szCs w:val="23"/>
        </w:rPr>
        <w:t xml:space="preserve"> '</w:t>
      </w:r>
      <w:proofErr w:type="spellStart"/>
      <w:r w:rsidRPr="00CE62F6">
        <w:rPr>
          <w:b/>
          <w:bCs/>
          <w:color w:val="C00000"/>
          <w:sz w:val="23"/>
          <w:szCs w:val="23"/>
        </w:rPr>
        <w:t>Āyāti</w:t>
      </w:r>
      <w:proofErr w:type="spellEnd"/>
      <w:r w:rsidRPr="00CE62F6">
        <w:rPr>
          <w:b/>
          <w:bCs/>
          <w:color w:val="C00000"/>
          <w:sz w:val="23"/>
          <w:szCs w:val="23"/>
        </w:rPr>
        <w:t xml:space="preserve"> </w:t>
      </w:r>
      <w:proofErr w:type="spellStart"/>
      <w:r w:rsidRPr="00CE62F6">
        <w:rPr>
          <w:b/>
          <w:bCs/>
          <w:color w:val="C00000"/>
          <w:sz w:val="23"/>
          <w:szCs w:val="23"/>
        </w:rPr>
        <w:t>Allāhi</w:t>
      </w:r>
      <w:proofErr w:type="spellEnd"/>
      <w:r w:rsidRPr="00CE62F6">
        <w:rPr>
          <w:b/>
          <w:bCs/>
          <w:color w:val="C00000"/>
          <w:sz w:val="23"/>
          <w:szCs w:val="23"/>
        </w:rPr>
        <w:t xml:space="preserve"> </w:t>
      </w:r>
      <w:proofErr w:type="spellStart"/>
      <w:r w:rsidRPr="00CE62F6">
        <w:rPr>
          <w:b/>
          <w:bCs/>
          <w:color w:val="C00000"/>
          <w:sz w:val="23"/>
          <w:szCs w:val="23"/>
        </w:rPr>
        <w:t>Yukfaru</w:t>
      </w:r>
      <w:proofErr w:type="spellEnd"/>
      <w:r w:rsidRPr="00CE62F6">
        <w:rPr>
          <w:b/>
          <w:bCs/>
          <w:color w:val="C00000"/>
          <w:sz w:val="23"/>
          <w:szCs w:val="23"/>
        </w:rPr>
        <w:t xml:space="preserve"> </w:t>
      </w:r>
      <w:proofErr w:type="spellStart"/>
      <w:r w:rsidRPr="00CE62F6">
        <w:rPr>
          <w:b/>
          <w:bCs/>
          <w:color w:val="C00000"/>
          <w:sz w:val="23"/>
          <w:szCs w:val="23"/>
        </w:rPr>
        <w:t>Bihā</w:t>
      </w:r>
      <w:proofErr w:type="spellEnd"/>
      <w:r w:rsidRPr="00CE62F6">
        <w:rPr>
          <w:b/>
          <w:bCs/>
          <w:color w:val="C00000"/>
          <w:sz w:val="23"/>
          <w:szCs w:val="23"/>
        </w:rPr>
        <w:t xml:space="preserve"> Wa </w:t>
      </w:r>
      <w:proofErr w:type="spellStart"/>
      <w:r w:rsidRPr="00CE62F6">
        <w:rPr>
          <w:b/>
          <w:bCs/>
          <w:color w:val="C00000"/>
          <w:sz w:val="23"/>
          <w:szCs w:val="23"/>
        </w:rPr>
        <w:t>Yustahza'u</w:t>
      </w:r>
      <w:proofErr w:type="spellEnd"/>
      <w:r w:rsidRPr="00CE62F6">
        <w:rPr>
          <w:b/>
          <w:bCs/>
          <w:color w:val="C00000"/>
          <w:sz w:val="23"/>
          <w:szCs w:val="23"/>
        </w:rPr>
        <w:t xml:space="preserve"> </w:t>
      </w:r>
      <w:proofErr w:type="spellStart"/>
      <w:r w:rsidRPr="00CE62F6">
        <w:rPr>
          <w:b/>
          <w:bCs/>
          <w:color w:val="C00000"/>
          <w:sz w:val="23"/>
          <w:szCs w:val="23"/>
        </w:rPr>
        <w:t>Bihā</w:t>
      </w:r>
      <w:proofErr w:type="spellEnd"/>
      <w:r w:rsidRPr="00CE62F6">
        <w:rPr>
          <w:b/>
          <w:bCs/>
          <w:color w:val="C00000"/>
          <w:sz w:val="23"/>
          <w:szCs w:val="23"/>
        </w:rPr>
        <w:t xml:space="preserve"> </w:t>
      </w:r>
      <w:proofErr w:type="spellStart"/>
      <w:r w:rsidRPr="00CE62F6">
        <w:rPr>
          <w:b/>
          <w:bCs/>
          <w:color w:val="C00000"/>
          <w:sz w:val="23"/>
          <w:szCs w:val="23"/>
        </w:rPr>
        <w:t>Falā</w:t>
      </w:r>
      <w:proofErr w:type="spellEnd"/>
      <w:r w:rsidRPr="00CE62F6">
        <w:rPr>
          <w:b/>
          <w:bCs/>
          <w:color w:val="C00000"/>
          <w:sz w:val="23"/>
          <w:szCs w:val="23"/>
        </w:rPr>
        <w:t xml:space="preserve"> </w:t>
      </w:r>
      <w:proofErr w:type="spellStart"/>
      <w:r w:rsidRPr="00CE62F6">
        <w:rPr>
          <w:b/>
          <w:bCs/>
          <w:color w:val="C00000"/>
          <w:sz w:val="23"/>
          <w:szCs w:val="23"/>
        </w:rPr>
        <w:t>Taq</w:t>
      </w:r>
      <w:proofErr w:type="spellEnd"/>
      <w:r w:rsidRPr="00CE62F6">
        <w:rPr>
          <w:b/>
          <w:bCs/>
          <w:color w:val="C00000"/>
          <w:sz w:val="23"/>
          <w:szCs w:val="23"/>
        </w:rPr>
        <w:t>`</w:t>
      </w:r>
      <w:proofErr w:type="spellStart"/>
      <w:r w:rsidRPr="00CE62F6">
        <w:rPr>
          <w:b/>
          <w:bCs/>
          <w:color w:val="C00000"/>
          <w:sz w:val="23"/>
          <w:szCs w:val="23"/>
        </w:rPr>
        <w:t>udū</w:t>
      </w:r>
      <w:proofErr w:type="spellEnd"/>
      <w:r w:rsidRPr="00CE62F6">
        <w:rPr>
          <w:b/>
          <w:bCs/>
          <w:color w:val="C00000"/>
          <w:sz w:val="23"/>
          <w:szCs w:val="23"/>
        </w:rPr>
        <w:t xml:space="preserve"> Ma`</w:t>
      </w:r>
      <w:proofErr w:type="spellStart"/>
      <w:r w:rsidRPr="00CE62F6">
        <w:rPr>
          <w:b/>
          <w:bCs/>
          <w:color w:val="C00000"/>
          <w:sz w:val="23"/>
          <w:szCs w:val="23"/>
        </w:rPr>
        <w:t>ahum</w:t>
      </w:r>
      <w:proofErr w:type="spellEnd"/>
      <w:r w:rsidRPr="00CE62F6">
        <w:rPr>
          <w:b/>
          <w:bCs/>
          <w:color w:val="C00000"/>
          <w:sz w:val="23"/>
          <w:szCs w:val="23"/>
        </w:rPr>
        <w:t xml:space="preserve"> </w:t>
      </w:r>
      <w:proofErr w:type="spellStart"/>
      <w:r w:rsidRPr="00CE62F6">
        <w:rPr>
          <w:b/>
          <w:bCs/>
          <w:color w:val="C00000"/>
          <w:sz w:val="23"/>
          <w:szCs w:val="23"/>
        </w:rPr>
        <w:t>Ĥattá</w:t>
      </w:r>
      <w:proofErr w:type="spellEnd"/>
      <w:r w:rsidRPr="00CE62F6">
        <w:rPr>
          <w:b/>
          <w:bCs/>
          <w:color w:val="C00000"/>
          <w:sz w:val="23"/>
          <w:szCs w:val="23"/>
        </w:rPr>
        <w:t xml:space="preserve"> </w:t>
      </w:r>
      <w:proofErr w:type="spellStart"/>
      <w:r w:rsidRPr="00CE62F6">
        <w:rPr>
          <w:b/>
          <w:bCs/>
          <w:color w:val="C00000"/>
          <w:sz w:val="23"/>
          <w:szCs w:val="23"/>
        </w:rPr>
        <w:t>Yakhūđū</w:t>
      </w:r>
      <w:proofErr w:type="spellEnd"/>
      <w:r w:rsidRPr="00CE62F6">
        <w:rPr>
          <w:b/>
          <w:bCs/>
          <w:color w:val="C00000"/>
          <w:sz w:val="23"/>
          <w:szCs w:val="23"/>
        </w:rPr>
        <w:t xml:space="preserve"> </w:t>
      </w:r>
      <w:proofErr w:type="spellStart"/>
      <w:r w:rsidRPr="00CE62F6">
        <w:rPr>
          <w:b/>
          <w:bCs/>
          <w:color w:val="C00000"/>
          <w:sz w:val="23"/>
          <w:szCs w:val="23"/>
        </w:rPr>
        <w:t>Fī</w:t>
      </w:r>
      <w:proofErr w:type="spellEnd"/>
      <w:r w:rsidRPr="00CE62F6">
        <w:rPr>
          <w:b/>
          <w:bCs/>
          <w:color w:val="C00000"/>
          <w:sz w:val="23"/>
          <w:szCs w:val="23"/>
        </w:rPr>
        <w:t xml:space="preserve"> </w:t>
      </w:r>
      <w:proofErr w:type="spellStart"/>
      <w:r w:rsidRPr="00CE62F6">
        <w:rPr>
          <w:b/>
          <w:bCs/>
          <w:color w:val="C00000"/>
          <w:sz w:val="23"/>
          <w:szCs w:val="23"/>
        </w:rPr>
        <w:t>Ĥadīthin</w:t>
      </w:r>
      <w:proofErr w:type="spellEnd"/>
      <w:r w:rsidRPr="00CE62F6">
        <w:rPr>
          <w:b/>
          <w:bCs/>
          <w:color w:val="C00000"/>
          <w:sz w:val="23"/>
          <w:szCs w:val="23"/>
        </w:rPr>
        <w:t xml:space="preserve"> </w:t>
      </w:r>
      <w:proofErr w:type="spellStart"/>
      <w:r w:rsidRPr="00CE62F6">
        <w:rPr>
          <w:b/>
          <w:bCs/>
          <w:color w:val="C00000"/>
          <w:sz w:val="23"/>
          <w:szCs w:val="23"/>
        </w:rPr>
        <w:t>Ghayrihi</w:t>
      </w:r>
      <w:proofErr w:type="spellEnd"/>
      <w:r w:rsidRPr="00CE62F6">
        <w:rPr>
          <w:b/>
          <w:bCs/>
          <w:color w:val="C00000"/>
          <w:sz w:val="23"/>
          <w:szCs w:val="23"/>
        </w:rPr>
        <w:t xml:space="preserve"> '</w:t>
      </w:r>
      <w:proofErr w:type="spellStart"/>
      <w:r w:rsidRPr="00CE62F6">
        <w:rPr>
          <w:b/>
          <w:bCs/>
          <w:color w:val="C00000"/>
          <w:sz w:val="23"/>
          <w:szCs w:val="23"/>
        </w:rPr>
        <w:t>Innakum</w:t>
      </w:r>
      <w:proofErr w:type="spellEnd"/>
      <w:r w:rsidRPr="00CE62F6">
        <w:rPr>
          <w:b/>
          <w:bCs/>
          <w:color w:val="C00000"/>
          <w:sz w:val="23"/>
          <w:szCs w:val="23"/>
        </w:rPr>
        <w:t xml:space="preserve"> '</w:t>
      </w:r>
      <w:proofErr w:type="spellStart"/>
      <w:r w:rsidRPr="00CE62F6">
        <w:rPr>
          <w:b/>
          <w:bCs/>
          <w:color w:val="C00000"/>
          <w:sz w:val="23"/>
          <w:szCs w:val="23"/>
        </w:rPr>
        <w:t>Idhāan</w:t>
      </w:r>
      <w:proofErr w:type="spellEnd"/>
      <w:r w:rsidRPr="00CE62F6">
        <w:rPr>
          <w:b/>
          <w:bCs/>
          <w:color w:val="C00000"/>
          <w:sz w:val="23"/>
          <w:szCs w:val="23"/>
        </w:rPr>
        <w:t xml:space="preserve"> </w:t>
      </w:r>
      <w:proofErr w:type="spellStart"/>
      <w:r w:rsidRPr="00CE62F6">
        <w:rPr>
          <w:b/>
          <w:bCs/>
          <w:color w:val="C00000"/>
          <w:sz w:val="23"/>
          <w:szCs w:val="23"/>
        </w:rPr>
        <w:t>Mithluhum</w:t>
      </w:r>
      <w:proofErr w:type="spellEnd"/>
      <w:r w:rsidRPr="00CE62F6">
        <w:rPr>
          <w:b/>
          <w:bCs/>
          <w:color w:val="C00000"/>
          <w:sz w:val="23"/>
          <w:szCs w:val="23"/>
        </w:rPr>
        <w:t xml:space="preserve"> '</w:t>
      </w:r>
      <w:proofErr w:type="spellStart"/>
      <w:r w:rsidRPr="00CE62F6">
        <w:rPr>
          <w:b/>
          <w:bCs/>
          <w:color w:val="C00000"/>
          <w:sz w:val="23"/>
          <w:szCs w:val="23"/>
        </w:rPr>
        <w:t>Inna</w:t>
      </w:r>
      <w:proofErr w:type="spellEnd"/>
      <w:r w:rsidRPr="00CE62F6">
        <w:rPr>
          <w:b/>
          <w:bCs/>
          <w:color w:val="C00000"/>
          <w:sz w:val="23"/>
          <w:szCs w:val="23"/>
        </w:rPr>
        <w:t xml:space="preserve"> </w:t>
      </w:r>
      <w:proofErr w:type="spellStart"/>
      <w:r w:rsidRPr="00CE62F6">
        <w:rPr>
          <w:b/>
          <w:bCs/>
          <w:color w:val="C00000"/>
          <w:sz w:val="23"/>
          <w:szCs w:val="23"/>
        </w:rPr>
        <w:t>Allāha</w:t>
      </w:r>
      <w:proofErr w:type="spellEnd"/>
      <w:r w:rsidRPr="00CE62F6">
        <w:rPr>
          <w:b/>
          <w:bCs/>
          <w:color w:val="C00000"/>
          <w:sz w:val="23"/>
          <w:szCs w:val="23"/>
        </w:rPr>
        <w:t xml:space="preserve"> </w:t>
      </w:r>
      <w:proofErr w:type="spellStart"/>
      <w:r w:rsidRPr="00CE62F6">
        <w:rPr>
          <w:b/>
          <w:bCs/>
          <w:color w:val="C00000"/>
          <w:sz w:val="23"/>
          <w:szCs w:val="23"/>
        </w:rPr>
        <w:t>Jāmi</w:t>
      </w:r>
      <w:proofErr w:type="spellEnd"/>
      <w:r w:rsidRPr="00CE62F6">
        <w:rPr>
          <w:b/>
          <w:bCs/>
          <w:color w:val="C00000"/>
          <w:sz w:val="23"/>
          <w:szCs w:val="23"/>
        </w:rPr>
        <w:t>`u Al-</w:t>
      </w:r>
      <w:proofErr w:type="spellStart"/>
      <w:r w:rsidRPr="00CE62F6">
        <w:rPr>
          <w:b/>
          <w:bCs/>
          <w:color w:val="C00000"/>
          <w:sz w:val="23"/>
          <w:szCs w:val="23"/>
        </w:rPr>
        <w:t>Munāfiqīna</w:t>
      </w:r>
      <w:proofErr w:type="spellEnd"/>
      <w:r w:rsidRPr="00CE62F6">
        <w:rPr>
          <w:b/>
          <w:bCs/>
          <w:color w:val="C00000"/>
          <w:sz w:val="23"/>
          <w:szCs w:val="23"/>
        </w:rPr>
        <w:t xml:space="preserve"> Wa Al-</w:t>
      </w:r>
      <w:proofErr w:type="spellStart"/>
      <w:r w:rsidRPr="00CE62F6">
        <w:rPr>
          <w:b/>
          <w:bCs/>
          <w:color w:val="C00000"/>
          <w:sz w:val="23"/>
          <w:szCs w:val="23"/>
        </w:rPr>
        <w:t>Kāfirīna</w:t>
      </w:r>
      <w:proofErr w:type="spellEnd"/>
      <w:r w:rsidRPr="00CE62F6">
        <w:rPr>
          <w:b/>
          <w:bCs/>
          <w:color w:val="C00000"/>
          <w:sz w:val="23"/>
          <w:szCs w:val="23"/>
        </w:rPr>
        <w:t xml:space="preserve"> </w:t>
      </w:r>
      <w:proofErr w:type="spellStart"/>
      <w:r w:rsidRPr="00CE62F6">
        <w:rPr>
          <w:b/>
          <w:bCs/>
          <w:color w:val="C00000"/>
          <w:sz w:val="23"/>
          <w:szCs w:val="23"/>
        </w:rPr>
        <w:t>Fī</w:t>
      </w:r>
      <w:proofErr w:type="spellEnd"/>
      <w:r w:rsidRPr="00CE62F6">
        <w:rPr>
          <w:b/>
          <w:bCs/>
          <w:color w:val="C00000"/>
          <w:sz w:val="23"/>
          <w:szCs w:val="23"/>
        </w:rPr>
        <w:t xml:space="preserve"> </w:t>
      </w:r>
      <w:proofErr w:type="spellStart"/>
      <w:r w:rsidRPr="00CE62F6">
        <w:rPr>
          <w:b/>
          <w:bCs/>
          <w:color w:val="C00000"/>
          <w:sz w:val="23"/>
          <w:szCs w:val="23"/>
        </w:rPr>
        <w:t>Jahannama</w:t>
      </w:r>
      <w:proofErr w:type="spellEnd"/>
      <w:r w:rsidRPr="00CE62F6">
        <w:rPr>
          <w:b/>
          <w:bCs/>
          <w:color w:val="C00000"/>
          <w:sz w:val="23"/>
          <w:szCs w:val="23"/>
        </w:rPr>
        <w:t xml:space="preserve"> </w:t>
      </w:r>
      <w:proofErr w:type="spellStart"/>
      <w:r w:rsidRPr="00CE62F6">
        <w:rPr>
          <w:b/>
          <w:bCs/>
          <w:color w:val="C00000"/>
          <w:sz w:val="23"/>
          <w:szCs w:val="23"/>
        </w:rPr>
        <w:t>Jamī</w:t>
      </w:r>
      <w:proofErr w:type="spellEnd"/>
      <w:r w:rsidRPr="00CE62F6">
        <w:rPr>
          <w:b/>
          <w:bCs/>
          <w:color w:val="C00000"/>
          <w:sz w:val="23"/>
          <w:szCs w:val="23"/>
        </w:rPr>
        <w:t>`</w:t>
      </w:r>
      <w:proofErr w:type="spellStart"/>
      <w:r w:rsidRPr="00CE62F6">
        <w:rPr>
          <w:b/>
          <w:bCs/>
          <w:color w:val="C00000"/>
          <w:sz w:val="23"/>
          <w:szCs w:val="23"/>
        </w:rPr>
        <w:t>āan</w:t>
      </w:r>
      <w:proofErr w:type="spellEnd"/>
      <w:r>
        <w:rPr>
          <w:sz w:val="23"/>
          <w:szCs w:val="23"/>
        </w:rPr>
        <w:t xml:space="preserve"> »</w:t>
      </w:r>
    </w:p>
    <w:p w:rsidR="00B40F1E" w:rsidRDefault="00B40F1E" w:rsidP="00B40F1E">
      <w:pPr>
        <w:pStyle w:val="NormalWeb"/>
        <w:spacing w:before="0" w:beforeAutospacing="0" w:after="0" w:afterAutospacing="0"/>
        <w:jc w:val="center"/>
        <w:rPr>
          <w:rtl/>
        </w:rPr>
      </w:pPr>
      <w:r>
        <w:t xml:space="preserve">  </w:t>
      </w:r>
    </w:p>
    <w:p w:rsidR="00B40F1E" w:rsidRDefault="00B40F1E" w:rsidP="00B40F1E">
      <w:pPr>
        <w:pStyle w:val="sstrt"/>
        <w:spacing w:before="0" w:beforeAutospacing="0" w:after="0" w:afterAutospacing="0"/>
        <w:jc w:val="center"/>
        <w:rPr>
          <w:b/>
          <w:bCs/>
        </w:rPr>
      </w:pPr>
      <w:r w:rsidRPr="00CE62F6">
        <w:rPr>
          <w:rStyle w:val="lev"/>
          <w:b w:val="0"/>
          <w:bCs w:val="0"/>
        </w:rPr>
        <w:t>«</w:t>
      </w:r>
      <w:r w:rsidRPr="00CE62F6">
        <w:rPr>
          <w:b/>
          <w:bCs/>
        </w:rPr>
        <w:t> </w:t>
      </w:r>
      <w:r w:rsidRPr="00CE62F6">
        <w:rPr>
          <w:rStyle w:val="lev"/>
          <w:color w:val="FF0000"/>
        </w:rPr>
        <w:t>Dans le Livre, il vous a déjà révélé ceci : lorsque vous entendez qu’on renie les versets (le Coran) d’Allah  et qu'on s'en raille, ne vous asseyez point avec ceux-là jusqu’à ce qu’ils entreprennent une autre conversation. Sinon, vous serez comme eux. Allah rassemblera, certes, les hypocrites et les mécréants, tous, dans l’Enfer.</w:t>
      </w:r>
      <w:r w:rsidRPr="00CE62F6">
        <w:rPr>
          <w:rStyle w:val="lev"/>
          <w:b w:val="0"/>
          <w:bCs w:val="0"/>
        </w:rPr>
        <w:t> »</w:t>
      </w:r>
      <w:r w:rsidRPr="00CE62F6">
        <w:rPr>
          <w:b/>
          <w:bCs/>
        </w:rPr>
        <w:t xml:space="preserve"> </w:t>
      </w:r>
    </w:p>
    <w:p w:rsidR="00B40F1E" w:rsidRPr="00CE62F6" w:rsidRDefault="00B40F1E" w:rsidP="00B40F1E">
      <w:pPr>
        <w:pStyle w:val="sstrt"/>
        <w:spacing w:before="0" w:beforeAutospacing="0" w:after="0" w:afterAutospacing="0"/>
        <w:jc w:val="center"/>
        <w:rPr>
          <w:b/>
          <w:bCs/>
        </w:rPr>
      </w:pPr>
    </w:p>
    <w:p w:rsidR="00B40F1E" w:rsidRDefault="00B40F1E" w:rsidP="00B40F1E">
      <w:pPr>
        <w:pStyle w:val="sstrt"/>
        <w:spacing w:before="0" w:beforeAutospacing="0" w:after="0" w:afterAutospacing="0"/>
        <w:jc w:val="center"/>
      </w:pPr>
      <w:r>
        <w:t xml:space="preserve">[Sourate 4, verset 140] </w:t>
      </w:r>
    </w:p>
    <w:p w:rsidR="00B40F1E" w:rsidRPr="00916CDE" w:rsidRDefault="00B40F1E" w:rsidP="00B40F1E">
      <w:pPr>
        <w:pStyle w:val="Sansinterligne"/>
        <w:rPr>
          <w:rStyle w:val="Accentuation"/>
          <w:rFonts w:asciiTheme="majorBidi" w:hAnsiTheme="majorBidi" w:cstheme="majorBidi"/>
          <w:i w:val="0"/>
          <w:iCs w:val="0"/>
          <w:color w:val="262626" w:themeColor="text1" w:themeTint="D9"/>
        </w:rPr>
      </w:pPr>
    </w:p>
    <w:p w:rsidR="00B40F1E" w:rsidRPr="00D74B27" w:rsidRDefault="00B40F1E" w:rsidP="00B40F1E">
      <w:pPr>
        <w:pStyle w:val="Sansinterligne"/>
        <w:rPr>
          <w:rStyle w:val="Accentuation"/>
          <w:rFonts w:asciiTheme="majorBidi" w:hAnsiTheme="majorBidi" w:cstheme="majorBidi"/>
          <w:i w:val="0"/>
          <w:iCs w:val="0"/>
        </w:rPr>
      </w:pPr>
    </w:p>
    <w:p w:rsidR="00B40F1E" w:rsidRDefault="00B40F1E" w:rsidP="00B40F1E"/>
    <w:p w:rsidR="00B40F1E" w:rsidRPr="00916CDE" w:rsidRDefault="00B40F1E" w:rsidP="00B40F1E">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B40F1E" w:rsidRPr="00916CDE" w:rsidRDefault="00B40F1E" w:rsidP="00B40F1E">
      <w:pPr>
        <w:pStyle w:val="Sansinterligne"/>
        <w:rPr>
          <w:rFonts w:asciiTheme="majorBidi" w:hAnsiTheme="majorBidi" w:cstheme="majorBidi"/>
          <w:color w:val="000000"/>
        </w:rPr>
      </w:pPr>
    </w:p>
    <w:p w:rsidR="00B40F1E" w:rsidRDefault="00A85761" w:rsidP="00B40F1E">
      <w:pPr>
        <w:pStyle w:val="Sansinterligne"/>
        <w:rPr>
          <w:rFonts w:asciiTheme="majorBidi" w:hAnsiTheme="majorBidi" w:cstheme="majorBidi"/>
        </w:rPr>
      </w:pPr>
      <w:r>
        <w:rPr>
          <w:rFonts w:asciiTheme="majorBidi" w:hAnsiTheme="majorBidi" w:cstheme="majorBidi"/>
          <w:color w:val="000000"/>
        </w:rPr>
        <w:t>L’Imâm Al-</w:t>
      </w:r>
      <w:proofErr w:type="spellStart"/>
      <w:r>
        <w:rPr>
          <w:rFonts w:asciiTheme="majorBidi" w:hAnsiTheme="majorBidi" w:cstheme="majorBidi"/>
          <w:color w:val="000000"/>
        </w:rPr>
        <w:t>Qourtubî</w:t>
      </w:r>
      <w:proofErr w:type="spellEnd"/>
      <w:r w:rsidR="00B40F1E" w:rsidRPr="00D74B27">
        <w:rPr>
          <w:rFonts w:asciiTheme="majorBidi" w:hAnsiTheme="majorBidi" w:cstheme="majorBidi"/>
        </w:rPr>
        <w:t xml:space="preserve"> -</w:t>
      </w:r>
      <w:r w:rsidR="00B40F1E" w:rsidRPr="00AF284A">
        <w:rPr>
          <w:rFonts w:asciiTheme="majorBidi" w:hAnsiTheme="majorBidi" w:cstheme="majorBidi"/>
          <w:i/>
          <w:iCs/>
        </w:rPr>
        <w:t>qu’Allâh lui fasse Miséricorde</w:t>
      </w:r>
      <w:r w:rsidR="00B40F1E" w:rsidRPr="00D74B27">
        <w:rPr>
          <w:rFonts w:asciiTheme="majorBidi" w:hAnsiTheme="majorBidi" w:cstheme="majorBidi"/>
        </w:rPr>
        <w:t xml:space="preserve">- a dit : </w:t>
      </w:r>
    </w:p>
    <w:p w:rsidR="00B40F1E" w:rsidRPr="00A85761" w:rsidRDefault="00B40F1E" w:rsidP="00A85761">
      <w:pPr>
        <w:pStyle w:val="NormalWeb"/>
        <w:spacing w:before="0" w:beforeAutospacing="0" w:after="0" w:afterAutospacing="0"/>
        <w:ind w:left="105"/>
        <w:rPr>
          <w:sz w:val="28"/>
          <w:szCs w:val="28"/>
        </w:rPr>
      </w:pPr>
    </w:p>
    <w:p w:rsidR="00B40F1E" w:rsidRPr="00A85761" w:rsidRDefault="00B40F1E" w:rsidP="00A85761">
      <w:pPr>
        <w:pStyle w:val="NormalWeb"/>
        <w:bidi/>
        <w:spacing w:before="0" w:beforeAutospacing="0" w:after="0" w:afterAutospacing="0"/>
        <w:rPr>
          <w:sz w:val="28"/>
          <w:szCs w:val="28"/>
        </w:rPr>
      </w:pPr>
      <w:r w:rsidRPr="00A85761">
        <w:rPr>
          <w:sz w:val="32"/>
          <w:szCs w:val="32"/>
          <w:u w:val="single"/>
          <w:rtl/>
        </w:rPr>
        <w:t>تفسير القرطبي</w:t>
      </w:r>
      <w:r w:rsidRPr="00A85761">
        <w:rPr>
          <w:sz w:val="32"/>
          <w:szCs w:val="32"/>
          <w:rtl/>
        </w:rPr>
        <w:t>:</w:t>
      </w:r>
      <w:r w:rsidRPr="00A85761">
        <w:rPr>
          <w:sz w:val="28"/>
          <w:szCs w:val="28"/>
          <w:rtl/>
        </w:rPr>
        <w:t xml:space="preserve"> </w:t>
      </w:r>
    </w:p>
    <w:p w:rsidR="00B40F1E" w:rsidRPr="00A85761" w:rsidRDefault="00B40F1E" w:rsidP="00A85761">
      <w:pPr>
        <w:pStyle w:val="NormalWeb"/>
        <w:bidi/>
        <w:spacing w:before="0" w:beforeAutospacing="0" w:after="0" w:afterAutospacing="0"/>
        <w:ind w:left="135"/>
        <w:rPr>
          <w:sz w:val="28"/>
          <w:szCs w:val="28"/>
          <w:rtl/>
        </w:rPr>
      </w:pPr>
    </w:p>
    <w:p w:rsidR="00B40F1E" w:rsidRPr="00A85761" w:rsidRDefault="00B40F1E" w:rsidP="00A85761">
      <w:pPr>
        <w:pStyle w:val="NormalWeb"/>
        <w:bidi/>
        <w:spacing w:before="0" w:beforeAutospacing="0" w:after="0" w:afterAutospacing="0"/>
        <w:rPr>
          <w:sz w:val="28"/>
          <w:szCs w:val="28"/>
          <w:rtl/>
        </w:rPr>
      </w:pPr>
      <w:r w:rsidRPr="00A85761">
        <w:rPr>
          <w:sz w:val="32"/>
          <w:szCs w:val="32"/>
          <w:rtl/>
        </w:rPr>
        <w:t xml:space="preserve">قوله تعالىٰ: </w:t>
      </w:r>
      <w:r w:rsidRPr="00A85761">
        <w:rPr>
          <w:color w:val="008000"/>
          <w:sz w:val="32"/>
          <w:szCs w:val="32"/>
          <w:rtl/>
        </w:rPr>
        <w:t>{</w:t>
      </w:r>
      <w:r w:rsidRPr="00B51AA2">
        <w:rPr>
          <w:color w:val="FF0000"/>
          <w:sz w:val="32"/>
          <w:szCs w:val="32"/>
          <w:rtl/>
        </w:rPr>
        <w:t xml:space="preserve">وَقَدْ نَزَّلَ عَلَيْكُمْ فِي ٱلْكِتَابِ أَنْ إِذَا سَمِعْتُمْ آيَاتِ ٱللَّهِ يُكَفَرُ </w:t>
      </w:r>
      <w:proofErr w:type="spellStart"/>
      <w:r w:rsidRPr="00B51AA2">
        <w:rPr>
          <w:color w:val="FF0000"/>
          <w:sz w:val="32"/>
          <w:szCs w:val="32"/>
          <w:rtl/>
        </w:rPr>
        <w:t>بِهَا</w:t>
      </w:r>
      <w:proofErr w:type="spellEnd"/>
      <w:r w:rsidRPr="00B51AA2">
        <w:rPr>
          <w:color w:val="FF0000"/>
          <w:sz w:val="32"/>
          <w:szCs w:val="32"/>
          <w:rtl/>
        </w:rPr>
        <w:t xml:space="preserve"> وَيُسْتَهْزَأُ </w:t>
      </w:r>
      <w:proofErr w:type="spellStart"/>
      <w:r w:rsidRPr="00B51AA2">
        <w:rPr>
          <w:color w:val="FF0000"/>
          <w:sz w:val="32"/>
          <w:szCs w:val="32"/>
          <w:rtl/>
        </w:rPr>
        <w:t>بِهَا</w:t>
      </w:r>
      <w:proofErr w:type="spellEnd"/>
      <w:r w:rsidRPr="00A85761">
        <w:rPr>
          <w:color w:val="008000"/>
          <w:sz w:val="32"/>
          <w:szCs w:val="32"/>
          <w:rtl/>
        </w:rPr>
        <w:t>}</w:t>
      </w:r>
      <w:r w:rsidRPr="00A85761">
        <w:rPr>
          <w:sz w:val="32"/>
          <w:szCs w:val="32"/>
          <w:rtl/>
        </w:rPr>
        <w:t xml:space="preserve"> الخطاب لجميع من أظهر الإيمان من مُحِقّ ومنافق؛ لأنه إذا أظهر الإيمان فقد لزمه أن يمتثل أوامر كتابِ الله. </w:t>
      </w:r>
      <w:proofErr w:type="gramStart"/>
      <w:r w:rsidRPr="00A85761">
        <w:rPr>
          <w:sz w:val="32"/>
          <w:szCs w:val="32"/>
          <w:rtl/>
        </w:rPr>
        <w:t>فالمنزَّل</w:t>
      </w:r>
      <w:proofErr w:type="gramEnd"/>
      <w:r w:rsidRPr="00A85761">
        <w:rPr>
          <w:sz w:val="32"/>
          <w:szCs w:val="32"/>
          <w:rtl/>
        </w:rPr>
        <w:t xml:space="preserve"> قوله تعالىٰ: </w:t>
      </w:r>
      <w:r w:rsidRPr="00A85761">
        <w:rPr>
          <w:color w:val="008000"/>
          <w:sz w:val="32"/>
          <w:szCs w:val="32"/>
          <w:rtl/>
        </w:rPr>
        <w:t>{</w:t>
      </w:r>
      <w:r w:rsidRPr="00B51AA2">
        <w:rPr>
          <w:color w:val="FF0000"/>
          <w:sz w:val="32"/>
          <w:szCs w:val="32"/>
          <w:rtl/>
        </w:rPr>
        <w:t>وَإِذَا رَأَيْتَ ٱ</w:t>
      </w:r>
      <w:proofErr w:type="spellStart"/>
      <w:r w:rsidRPr="00B51AA2">
        <w:rPr>
          <w:color w:val="FF0000"/>
          <w:sz w:val="32"/>
          <w:szCs w:val="32"/>
          <w:rtl/>
        </w:rPr>
        <w:t>لَّذِينَ</w:t>
      </w:r>
      <w:proofErr w:type="spellEnd"/>
      <w:r w:rsidRPr="00B51AA2">
        <w:rPr>
          <w:color w:val="FF0000"/>
          <w:sz w:val="32"/>
          <w:szCs w:val="32"/>
          <w:rtl/>
        </w:rPr>
        <w:t xml:space="preserve"> يَخُوضُونَ فِيۤ آيَاتِنَا فَأَعْرِضْ عَنْهُمْ حَتَّىٰ يَخُوضُواْ فِي حَدِيثٍ غَيْرِهِ</w:t>
      </w:r>
      <w:r w:rsidRPr="00A85761">
        <w:rPr>
          <w:color w:val="008000"/>
          <w:sz w:val="32"/>
          <w:szCs w:val="32"/>
          <w:rtl/>
        </w:rPr>
        <w:t>}</w:t>
      </w:r>
      <w:r w:rsidRPr="00A85761">
        <w:rPr>
          <w:sz w:val="32"/>
          <w:szCs w:val="32"/>
          <w:rtl/>
        </w:rPr>
        <w:t xml:space="preserve"> (الأنعام: 68). وكان المنافقون يجلسون إلى أحبار اليهود فيسخَرون من القرآن. وقرأ عاصم ويعقوب «وقد نَزَّل» بفتح النون والزاي وشدّها؛ لتقدّم اسم </w:t>
      </w:r>
      <w:r w:rsidRPr="00A85761">
        <w:rPr>
          <w:sz w:val="32"/>
          <w:szCs w:val="32"/>
          <w:rtl/>
        </w:rPr>
        <w:lastRenderedPageBreak/>
        <w:t xml:space="preserve">الله جلّ جلاله في قوله تعالىٰ: </w:t>
      </w:r>
      <w:r w:rsidRPr="00A85761">
        <w:rPr>
          <w:color w:val="008000"/>
          <w:sz w:val="32"/>
          <w:szCs w:val="32"/>
          <w:rtl/>
        </w:rPr>
        <w:t>{</w:t>
      </w:r>
      <w:r w:rsidRPr="00B51AA2">
        <w:rPr>
          <w:color w:val="FF0000"/>
          <w:sz w:val="32"/>
          <w:szCs w:val="32"/>
          <w:rtl/>
        </w:rPr>
        <w:t>فَإِنَّ ٱلعِزَّةَ للَّهِ جَمِيعاً</w:t>
      </w:r>
      <w:r w:rsidRPr="00A85761">
        <w:rPr>
          <w:color w:val="008000"/>
          <w:sz w:val="32"/>
          <w:szCs w:val="32"/>
          <w:rtl/>
        </w:rPr>
        <w:t>}.</w:t>
      </w:r>
      <w:r w:rsidRPr="00A85761">
        <w:rPr>
          <w:sz w:val="32"/>
          <w:szCs w:val="32"/>
          <w:rtl/>
        </w:rPr>
        <w:t xml:space="preserve"> وقرأ حُميد كذلك، إلاَّ أنه </w:t>
      </w:r>
      <w:proofErr w:type="gramStart"/>
      <w:r w:rsidRPr="00A85761">
        <w:rPr>
          <w:sz w:val="32"/>
          <w:szCs w:val="32"/>
          <w:rtl/>
        </w:rPr>
        <w:t>خفّف</w:t>
      </w:r>
      <w:proofErr w:type="gramEnd"/>
      <w:r w:rsidRPr="00A85761">
        <w:rPr>
          <w:sz w:val="32"/>
          <w:szCs w:val="32"/>
          <w:rtl/>
        </w:rPr>
        <w:t xml:space="preserve"> الزاي. الباقون «نُزِّل» غير مسمى الفاعل. </w:t>
      </w:r>
      <w:r w:rsidRPr="00A85761">
        <w:rPr>
          <w:color w:val="008000"/>
          <w:sz w:val="32"/>
          <w:szCs w:val="32"/>
          <w:rtl/>
        </w:rPr>
        <w:t>{</w:t>
      </w:r>
      <w:proofErr w:type="gramStart"/>
      <w:r w:rsidRPr="00B51AA2">
        <w:rPr>
          <w:color w:val="FF0000"/>
          <w:sz w:val="32"/>
          <w:szCs w:val="32"/>
          <w:rtl/>
        </w:rPr>
        <w:t>أَنْ</w:t>
      </w:r>
      <w:proofErr w:type="gramEnd"/>
      <w:r w:rsidRPr="00B51AA2">
        <w:rPr>
          <w:color w:val="FF0000"/>
          <w:sz w:val="32"/>
          <w:szCs w:val="32"/>
          <w:rtl/>
        </w:rPr>
        <w:t xml:space="preserve"> إِذَا سَمِعْتُمْ آيَاتِ ٱللَّهِ</w:t>
      </w:r>
      <w:r w:rsidRPr="00A85761">
        <w:rPr>
          <w:color w:val="008000"/>
          <w:sz w:val="32"/>
          <w:szCs w:val="32"/>
          <w:rtl/>
        </w:rPr>
        <w:t>}</w:t>
      </w:r>
      <w:r w:rsidRPr="00A85761">
        <w:rPr>
          <w:sz w:val="32"/>
          <w:szCs w:val="32"/>
          <w:rtl/>
        </w:rPr>
        <w:t xml:space="preserve"> موضع </w:t>
      </w:r>
      <w:r w:rsidRPr="00A85761">
        <w:rPr>
          <w:color w:val="008000"/>
          <w:sz w:val="32"/>
          <w:szCs w:val="32"/>
          <w:rtl/>
        </w:rPr>
        <w:t>{</w:t>
      </w:r>
      <w:r w:rsidRPr="00B51AA2">
        <w:rPr>
          <w:color w:val="FF0000"/>
          <w:sz w:val="32"/>
          <w:szCs w:val="32"/>
          <w:rtl/>
        </w:rPr>
        <w:t>أَنْ إِذَا سَمِعْتُمْ</w:t>
      </w:r>
      <w:r w:rsidRPr="00A85761">
        <w:rPr>
          <w:color w:val="008000"/>
          <w:sz w:val="32"/>
          <w:szCs w:val="32"/>
          <w:rtl/>
        </w:rPr>
        <w:t>}</w:t>
      </w:r>
      <w:r w:rsidRPr="00A85761">
        <w:rPr>
          <w:sz w:val="32"/>
          <w:szCs w:val="32"/>
          <w:rtl/>
        </w:rPr>
        <w:t xml:space="preserve"> على قراءة عاصم ويعقوب نصب بوقوع الفعل عليه. </w:t>
      </w:r>
      <w:proofErr w:type="gramStart"/>
      <w:r w:rsidRPr="00A85761">
        <w:rPr>
          <w:sz w:val="32"/>
          <w:szCs w:val="32"/>
          <w:rtl/>
        </w:rPr>
        <w:t>وفي</w:t>
      </w:r>
      <w:proofErr w:type="gramEnd"/>
      <w:r w:rsidRPr="00A85761">
        <w:rPr>
          <w:sz w:val="32"/>
          <w:szCs w:val="32"/>
          <w:rtl/>
        </w:rPr>
        <w:t xml:space="preserve"> قراءة الباقين رفع؛ لكونه ٱسم ما لم يسم فاعله. </w:t>
      </w:r>
      <w:r w:rsidRPr="00A85761">
        <w:rPr>
          <w:color w:val="008000"/>
          <w:sz w:val="32"/>
          <w:szCs w:val="32"/>
          <w:rtl/>
        </w:rPr>
        <w:t>{</w:t>
      </w:r>
      <w:proofErr w:type="gramStart"/>
      <w:r w:rsidRPr="00B51AA2">
        <w:rPr>
          <w:color w:val="FF0000"/>
          <w:sz w:val="32"/>
          <w:szCs w:val="32"/>
          <w:rtl/>
        </w:rPr>
        <w:t>يُكَفَرُ</w:t>
      </w:r>
      <w:proofErr w:type="gramEnd"/>
      <w:r w:rsidRPr="00B51AA2">
        <w:rPr>
          <w:color w:val="FF0000"/>
          <w:sz w:val="32"/>
          <w:szCs w:val="32"/>
          <w:rtl/>
        </w:rPr>
        <w:t xml:space="preserve"> </w:t>
      </w:r>
      <w:proofErr w:type="spellStart"/>
      <w:r w:rsidRPr="00B51AA2">
        <w:rPr>
          <w:color w:val="FF0000"/>
          <w:sz w:val="32"/>
          <w:szCs w:val="32"/>
          <w:rtl/>
        </w:rPr>
        <w:t>بِهَا</w:t>
      </w:r>
      <w:proofErr w:type="spellEnd"/>
      <w:r w:rsidRPr="00A85761">
        <w:rPr>
          <w:color w:val="008000"/>
          <w:sz w:val="32"/>
          <w:szCs w:val="32"/>
          <w:rtl/>
        </w:rPr>
        <w:t>}</w:t>
      </w:r>
      <w:r w:rsidRPr="00A85761">
        <w:rPr>
          <w:sz w:val="32"/>
          <w:szCs w:val="32"/>
          <w:rtl/>
        </w:rPr>
        <w:t xml:space="preserve"> أي إذا سمعتم الكفر والاستهزاء بآيات الله؛ فأوقع السماع على الآيات، والمراد سماع الكفر والاستهزاء؛ كما تقول: سمعت عبد الله يُلام، أي سمعت اللوم في عبد الله.</w:t>
      </w:r>
      <w:r w:rsidRPr="00A85761">
        <w:rPr>
          <w:sz w:val="28"/>
          <w:szCs w:val="28"/>
          <w:rtl/>
        </w:rPr>
        <w:t xml:space="preserve"> </w:t>
      </w:r>
    </w:p>
    <w:p w:rsidR="00FF4C83" w:rsidRDefault="00FF4C83" w:rsidP="00A85761">
      <w:pPr>
        <w:pStyle w:val="NormalWeb"/>
        <w:bidi/>
        <w:spacing w:before="0" w:beforeAutospacing="0" w:after="0" w:afterAutospacing="0"/>
        <w:rPr>
          <w:sz w:val="32"/>
          <w:szCs w:val="32"/>
        </w:rPr>
      </w:pPr>
    </w:p>
    <w:p w:rsidR="00B40F1E" w:rsidRPr="00A85761" w:rsidRDefault="00B40F1E" w:rsidP="00FF4C83">
      <w:pPr>
        <w:pStyle w:val="NormalWeb"/>
        <w:bidi/>
        <w:spacing w:before="0" w:beforeAutospacing="0" w:after="0" w:afterAutospacing="0"/>
        <w:rPr>
          <w:sz w:val="28"/>
          <w:szCs w:val="28"/>
          <w:rtl/>
        </w:rPr>
      </w:pPr>
      <w:proofErr w:type="gramStart"/>
      <w:r w:rsidRPr="00A85761">
        <w:rPr>
          <w:sz w:val="32"/>
          <w:szCs w:val="32"/>
          <w:rtl/>
        </w:rPr>
        <w:t>قوله</w:t>
      </w:r>
      <w:proofErr w:type="gramEnd"/>
      <w:r w:rsidRPr="00A85761">
        <w:rPr>
          <w:sz w:val="32"/>
          <w:szCs w:val="32"/>
          <w:rtl/>
        </w:rPr>
        <w:t xml:space="preserve"> تعالىٰ: </w:t>
      </w:r>
      <w:r w:rsidRPr="00A85761">
        <w:rPr>
          <w:color w:val="008000"/>
          <w:sz w:val="32"/>
          <w:szCs w:val="32"/>
          <w:rtl/>
        </w:rPr>
        <w:t>{</w:t>
      </w:r>
      <w:r w:rsidRPr="00B51AA2">
        <w:rPr>
          <w:color w:val="FF0000"/>
          <w:sz w:val="32"/>
          <w:szCs w:val="32"/>
          <w:rtl/>
        </w:rPr>
        <w:t>فَلاَ تَقْعُدُواْ مَعَهُمْ حَتَّىٰ يَخُوضُواْ فِي حَدِيثٍ غَيْرِهِ</w:t>
      </w:r>
      <w:r w:rsidRPr="00A85761">
        <w:rPr>
          <w:color w:val="008000"/>
          <w:sz w:val="32"/>
          <w:szCs w:val="32"/>
          <w:rtl/>
        </w:rPr>
        <w:t>}</w:t>
      </w:r>
      <w:r w:rsidRPr="00A85761">
        <w:rPr>
          <w:sz w:val="32"/>
          <w:szCs w:val="32"/>
          <w:rtl/>
        </w:rPr>
        <w:t xml:space="preserve"> أي غير الكفر</w:t>
      </w:r>
      <w:r w:rsidRPr="00A85761">
        <w:rPr>
          <w:sz w:val="28"/>
          <w:szCs w:val="28"/>
        </w:rPr>
        <w:t> </w:t>
      </w:r>
      <w:r w:rsidRPr="00A85761">
        <w:rPr>
          <w:rStyle w:val="lev"/>
          <w:sz w:val="32"/>
          <w:szCs w:val="32"/>
        </w:rPr>
        <w:t> .</w:t>
      </w:r>
      <w:r w:rsidRPr="00A85761">
        <w:rPr>
          <w:sz w:val="28"/>
          <w:szCs w:val="28"/>
          <w:rtl/>
        </w:rPr>
        <w:t xml:space="preserve"> </w:t>
      </w:r>
    </w:p>
    <w:p w:rsidR="00B40F1E" w:rsidRPr="00A85761" w:rsidRDefault="00B40F1E" w:rsidP="00A85761">
      <w:pPr>
        <w:pStyle w:val="NormalWeb"/>
        <w:bidi/>
        <w:spacing w:before="0" w:beforeAutospacing="0" w:after="0" w:afterAutospacing="0"/>
        <w:rPr>
          <w:sz w:val="28"/>
          <w:szCs w:val="28"/>
          <w:rtl/>
        </w:rPr>
      </w:pPr>
      <w:r w:rsidRPr="00A85761">
        <w:rPr>
          <w:color w:val="008000"/>
          <w:sz w:val="32"/>
          <w:szCs w:val="32"/>
          <w:rtl/>
        </w:rPr>
        <w:t>{</w:t>
      </w:r>
      <w:proofErr w:type="gramStart"/>
      <w:r w:rsidRPr="00B51AA2">
        <w:rPr>
          <w:color w:val="FF0000"/>
          <w:sz w:val="32"/>
          <w:szCs w:val="32"/>
          <w:rtl/>
        </w:rPr>
        <w:t>إِنَّكُمْ</w:t>
      </w:r>
      <w:proofErr w:type="gramEnd"/>
      <w:r w:rsidRPr="00B51AA2">
        <w:rPr>
          <w:color w:val="FF0000"/>
          <w:sz w:val="32"/>
          <w:szCs w:val="32"/>
          <w:rtl/>
        </w:rPr>
        <w:t xml:space="preserve"> إِذاً مِّثْلُهُمْ</w:t>
      </w:r>
      <w:r w:rsidRPr="00A85761">
        <w:rPr>
          <w:color w:val="008000"/>
          <w:sz w:val="32"/>
          <w:szCs w:val="32"/>
          <w:rtl/>
        </w:rPr>
        <w:t>}</w:t>
      </w:r>
      <w:r w:rsidRPr="00A85761">
        <w:rPr>
          <w:sz w:val="28"/>
          <w:szCs w:val="28"/>
          <w:rtl/>
        </w:rPr>
        <w:t xml:space="preserve"> </w:t>
      </w:r>
      <w:r w:rsidRPr="00A85761">
        <w:rPr>
          <w:sz w:val="32"/>
          <w:szCs w:val="32"/>
          <w:rtl/>
        </w:rPr>
        <w:t xml:space="preserve">فدل بهذا على وجوب اجتناب أصحاب المعاصي إذا ظهر منهم منكر؛ لأن من لم يجتنبهم فقد رضِي فعلهم، والرّضا بالكفر كفر؛ قال الله عزّ وجلّ: </w:t>
      </w:r>
      <w:r w:rsidRPr="00A85761">
        <w:rPr>
          <w:color w:val="008000"/>
          <w:sz w:val="32"/>
          <w:szCs w:val="32"/>
          <w:rtl/>
        </w:rPr>
        <w:t>{</w:t>
      </w:r>
      <w:r w:rsidRPr="00B51AA2">
        <w:rPr>
          <w:color w:val="FF0000"/>
          <w:sz w:val="32"/>
          <w:szCs w:val="32"/>
          <w:rtl/>
        </w:rPr>
        <w:t>إِنَّكُمْ إِذاً مِّثْلُهُمْ</w:t>
      </w:r>
      <w:r w:rsidRPr="00A85761">
        <w:rPr>
          <w:color w:val="008000"/>
          <w:sz w:val="32"/>
          <w:szCs w:val="32"/>
          <w:rtl/>
        </w:rPr>
        <w:t>}</w:t>
      </w:r>
      <w:r w:rsidRPr="00A85761">
        <w:rPr>
          <w:sz w:val="32"/>
          <w:szCs w:val="32"/>
          <w:rtl/>
        </w:rPr>
        <w:t xml:space="preserve">. فكل من جلس في مجلس معصية ولم ينكِر عليهم يكون معهم في الوِزر سواء، وينبغي أن ينكِر عليهم إذا تكلموا بالمعصية وعمِلوا </w:t>
      </w:r>
      <w:proofErr w:type="spellStart"/>
      <w:r w:rsidRPr="00A85761">
        <w:rPr>
          <w:sz w:val="32"/>
          <w:szCs w:val="32"/>
          <w:rtl/>
        </w:rPr>
        <w:t>بها</w:t>
      </w:r>
      <w:proofErr w:type="spellEnd"/>
      <w:r w:rsidRPr="00A85761">
        <w:rPr>
          <w:sz w:val="32"/>
          <w:szCs w:val="32"/>
          <w:rtl/>
        </w:rPr>
        <w:t xml:space="preserve">؛ فإن لم يقدر على النكِير عليهم فينبغي أن يقوم عنهم حتى لا يكون من أهل هذه الآية. وقد روي عن عمر بن عبد العزيز (رضي الله عنه) أنه أخذ قوماً يشربون الخمر، فقيل له عن أحد الحاضرين: إنه صائم، فحمل عليه الأدب وقرأ هذه الآية </w:t>
      </w:r>
      <w:r w:rsidRPr="00A85761">
        <w:rPr>
          <w:color w:val="008000"/>
          <w:sz w:val="32"/>
          <w:szCs w:val="32"/>
          <w:rtl/>
        </w:rPr>
        <w:t>{</w:t>
      </w:r>
      <w:r w:rsidRPr="00B51AA2">
        <w:rPr>
          <w:color w:val="FF0000"/>
          <w:sz w:val="32"/>
          <w:szCs w:val="32"/>
          <w:rtl/>
        </w:rPr>
        <w:t>إِنَّكُمْ إِذاً مِّثْلُهُمْ</w:t>
      </w:r>
      <w:r w:rsidRPr="00A85761">
        <w:rPr>
          <w:color w:val="008000"/>
          <w:sz w:val="32"/>
          <w:szCs w:val="32"/>
          <w:rtl/>
        </w:rPr>
        <w:t>}</w:t>
      </w:r>
      <w:r w:rsidRPr="00A85761">
        <w:rPr>
          <w:sz w:val="32"/>
          <w:szCs w:val="32"/>
          <w:rtl/>
        </w:rPr>
        <w:t xml:space="preserve"> أي إن الرضا بالمعصية معصية؛ ولهذا </w:t>
      </w:r>
      <w:proofErr w:type="spellStart"/>
      <w:r w:rsidRPr="00A85761">
        <w:rPr>
          <w:sz w:val="32"/>
          <w:szCs w:val="32"/>
          <w:rtl/>
        </w:rPr>
        <w:t>يواخذ</w:t>
      </w:r>
      <w:proofErr w:type="spellEnd"/>
      <w:r w:rsidRPr="00A85761">
        <w:rPr>
          <w:sz w:val="32"/>
          <w:szCs w:val="32"/>
          <w:rtl/>
        </w:rPr>
        <w:t xml:space="preserve"> الفاعل والراضي بعقوبة المعاصي حتى يهلكوا </w:t>
      </w:r>
      <w:proofErr w:type="spellStart"/>
      <w:r w:rsidRPr="00A85761">
        <w:rPr>
          <w:sz w:val="32"/>
          <w:szCs w:val="32"/>
          <w:rtl/>
        </w:rPr>
        <w:t>بأجمعهم</w:t>
      </w:r>
      <w:proofErr w:type="spellEnd"/>
      <w:r w:rsidRPr="00A85761">
        <w:rPr>
          <w:sz w:val="32"/>
          <w:szCs w:val="32"/>
          <w:rtl/>
        </w:rPr>
        <w:t xml:space="preserve">. </w:t>
      </w:r>
      <w:proofErr w:type="gramStart"/>
      <w:r w:rsidRPr="00A85761">
        <w:rPr>
          <w:sz w:val="32"/>
          <w:szCs w:val="32"/>
          <w:rtl/>
        </w:rPr>
        <w:t>وهذه</w:t>
      </w:r>
      <w:proofErr w:type="gramEnd"/>
      <w:r w:rsidRPr="00A85761">
        <w:rPr>
          <w:sz w:val="32"/>
          <w:szCs w:val="32"/>
          <w:rtl/>
        </w:rPr>
        <w:t xml:space="preserve"> المماثلة ليست في جميع الصفات، ولكنه إلزام شبِّه بحكم الظاهر من المقارنة؛ كما قال</w:t>
      </w:r>
      <w:r w:rsidRPr="00A85761">
        <w:rPr>
          <w:sz w:val="28"/>
          <w:szCs w:val="28"/>
        </w:rPr>
        <w:t> </w:t>
      </w:r>
      <w:r w:rsidRPr="00A85761">
        <w:rPr>
          <w:rStyle w:val="lev"/>
          <w:sz w:val="32"/>
          <w:szCs w:val="32"/>
        </w:rPr>
        <w:t> :</w:t>
      </w:r>
      <w:r w:rsidRPr="00A85761">
        <w:rPr>
          <w:sz w:val="28"/>
          <w:szCs w:val="28"/>
          <w:rtl/>
        </w:rPr>
        <w:t xml:space="preserve"> </w:t>
      </w:r>
    </w:p>
    <w:p w:rsidR="00FF4C83" w:rsidRDefault="00FF4C83" w:rsidP="00A85761">
      <w:pPr>
        <w:pStyle w:val="NormalWeb"/>
        <w:bidi/>
        <w:spacing w:before="0" w:beforeAutospacing="0" w:after="0" w:afterAutospacing="0"/>
        <w:rPr>
          <w:sz w:val="32"/>
          <w:szCs w:val="32"/>
        </w:rPr>
      </w:pPr>
    </w:p>
    <w:p w:rsidR="00B40F1E" w:rsidRPr="00A85761" w:rsidRDefault="00B40F1E" w:rsidP="00FF4C83">
      <w:pPr>
        <w:pStyle w:val="NormalWeb"/>
        <w:bidi/>
        <w:spacing w:before="0" w:beforeAutospacing="0" w:after="0" w:afterAutospacing="0"/>
        <w:rPr>
          <w:sz w:val="28"/>
          <w:szCs w:val="28"/>
          <w:rtl/>
        </w:rPr>
      </w:pPr>
      <w:r w:rsidRPr="00A85761">
        <w:rPr>
          <w:sz w:val="32"/>
          <w:szCs w:val="32"/>
          <w:rtl/>
        </w:rPr>
        <w:t xml:space="preserve">فكل </w:t>
      </w:r>
      <w:proofErr w:type="gramStart"/>
      <w:r w:rsidRPr="00A85761">
        <w:rPr>
          <w:sz w:val="32"/>
          <w:szCs w:val="32"/>
          <w:rtl/>
        </w:rPr>
        <w:t>قرين</w:t>
      </w:r>
      <w:proofErr w:type="gramEnd"/>
      <w:r w:rsidRPr="00A85761">
        <w:rPr>
          <w:sz w:val="32"/>
          <w:szCs w:val="32"/>
          <w:rtl/>
        </w:rPr>
        <w:t xml:space="preserve"> بالمقارِن يقتدي وقد تقدّم. </w:t>
      </w:r>
      <w:proofErr w:type="gramStart"/>
      <w:r w:rsidRPr="00A85761">
        <w:rPr>
          <w:sz w:val="32"/>
          <w:szCs w:val="32"/>
          <w:rtl/>
        </w:rPr>
        <w:t>وإذا</w:t>
      </w:r>
      <w:proofErr w:type="gramEnd"/>
      <w:r w:rsidRPr="00A85761">
        <w:rPr>
          <w:sz w:val="32"/>
          <w:szCs w:val="32"/>
          <w:rtl/>
        </w:rPr>
        <w:t xml:space="preserve"> ثبت تجنّب أصحاب المعاصي كما بيّنا فتجنب أهل البدع والأهواء أولى. </w:t>
      </w:r>
      <w:proofErr w:type="gramStart"/>
      <w:r w:rsidRPr="00A85761">
        <w:rPr>
          <w:sz w:val="32"/>
          <w:szCs w:val="32"/>
          <w:rtl/>
        </w:rPr>
        <w:t>وقال</w:t>
      </w:r>
      <w:proofErr w:type="gramEnd"/>
      <w:r w:rsidRPr="00A85761">
        <w:rPr>
          <w:sz w:val="32"/>
          <w:szCs w:val="32"/>
          <w:rtl/>
        </w:rPr>
        <w:t xml:space="preserve"> الكلبيّ: قوله تعالىٰ </w:t>
      </w:r>
      <w:r w:rsidRPr="00A85761">
        <w:rPr>
          <w:color w:val="008000"/>
          <w:sz w:val="32"/>
          <w:szCs w:val="32"/>
          <w:rtl/>
        </w:rPr>
        <w:t>{</w:t>
      </w:r>
      <w:r w:rsidRPr="00B51AA2">
        <w:rPr>
          <w:color w:val="FF0000"/>
          <w:sz w:val="32"/>
          <w:szCs w:val="32"/>
          <w:rtl/>
        </w:rPr>
        <w:t>فَلاَ تَقْعُدُواْ مَعَهُمْ حَتَّىٰ يَخُوضُواْ فِي حَدِيثٍ غَيْرِهِ</w:t>
      </w:r>
      <w:r w:rsidRPr="00A85761">
        <w:rPr>
          <w:color w:val="008000"/>
          <w:sz w:val="32"/>
          <w:szCs w:val="32"/>
          <w:rtl/>
        </w:rPr>
        <w:t>}</w:t>
      </w:r>
      <w:r w:rsidRPr="00A85761">
        <w:rPr>
          <w:sz w:val="32"/>
          <w:szCs w:val="32"/>
          <w:rtl/>
        </w:rPr>
        <w:t xml:space="preserve"> نسخ بقوله تعالىٰ: </w:t>
      </w:r>
      <w:r w:rsidRPr="00A85761">
        <w:rPr>
          <w:color w:val="008000"/>
          <w:sz w:val="32"/>
          <w:szCs w:val="32"/>
          <w:rtl/>
        </w:rPr>
        <w:t>{</w:t>
      </w:r>
      <w:r w:rsidRPr="00B51AA2">
        <w:rPr>
          <w:color w:val="FF0000"/>
          <w:sz w:val="32"/>
          <w:szCs w:val="32"/>
          <w:rtl/>
        </w:rPr>
        <w:t>وَمَا عَلَى ٱ</w:t>
      </w:r>
      <w:proofErr w:type="spellStart"/>
      <w:r w:rsidRPr="00B51AA2">
        <w:rPr>
          <w:color w:val="FF0000"/>
          <w:sz w:val="32"/>
          <w:szCs w:val="32"/>
          <w:rtl/>
        </w:rPr>
        <w:t>لَّذِينَ</w:t>
      </w:r>
      <w:proofErr w:type="spellEnd"/>
      <w:r w:rsidRPr="00B51AA2">
        <w:rPr>
          <w:color w:val="FF0000"/>
          <w:sz w:val="32"/>
          <w:szCs w:val="32"/>
          <w:rtl/>
        </w:rPr>
        <w:t xml:space="preserve"> يَتَّقُونَ مِنْ حِسَابِهِم مِّن شَيْءٍ</w:t>
      </w:r>
      <w:r w:rsidRPr="00A85761">
        <w:rPr>
          <w:color w:val="008000"/>
          <w:sz w:val="32"/>
          <w:szCs w:val="32"/>
          <w:rtl/>
        </w:rPr>
        <w:t>}</w:t>
      </w:r>
      <w:r w:rsidRPr="00A85761">
        <w:rPr>
          <w:sz w:val="32"/>
          <w:szCs w:val="32"/>
          <w:rtl/>
        </w:rPr>
        <w:t xml:space="preserve"> (الأنعام: 69). وقال عامة </w:t>
      </w:r>
      <w:proofErr w:type="gramStart"/>
      <w:r w:rsidRPr="00A85761">
        <w:rPr>
          <w:sz w:val="32"/>
          <w:szCs w:val="32"/>
          <w:rtl/>
        </w:rPr>
        <w:t>المفسرين</w:t>
      </w:r>
      <w:proofErr w:type="gramEnd"/>
      <w:r w:rsidRPr="00A85761">
        <w:rPr>
          <w:sz w:val="32"/>
          <w:szCs w:val="32"/>
          <w:rtl/>
        </w:rPr>
        <w:t xml:space="preserve">: هي محكمة. وروى </w:t>
      </w:r>
      <w:proofErr w:type="spellStart"/>
      <w:r w:rsidRPr="00A85761">
        <w:rPr>
          <w:sz w:val="32"/>
          <w:szCs w:val="32"/>
          <w:rtl/>
        </w:rPr>
        <w:t>جويبر</w:t>
      </w:r>
      <w:proofErr w:type="spellEnd"/>
      <w:r w:rsidRPr="00A85761">
        <w:rPr>
          <w:sz w:val="32"/>
          <w:szCs w:val="32"/>
          <w:rtl/>
        </w:rPr>
        <w:t xml:space="preserve"> عن الضحاك قال: دخل في هذه الآية كل محدِث في الدين مُبْتَدِع إلى يوم القيامة.</w:t>
      </w:r>
      <w:r w:rsidRPr="00A85761">
        <w:rPr>
          <w:sz w:val="28"/>
          <w:szCs w:val="28"/>
          <w:rtl/>
        </w:rPr>
        <w:t xml:space="preserve"> </w:t>
      </w:r>
    </w:p>
    <w:p w:rsidR="00B40F1E" w:rsidRDefault="00B40F1E" w:rsidP="00B40F1E">
      <w:pPr>
        <w:pStyle w:val="NormalWeb"/>
        <w:spacing w:before="0" w:beforeAutospacing="0" w:after="0" w:afterAutospacing="0"/>
        <w:rPr>
          <w:rtl/>
        </w:rPr>
      </w:pPr>
      <w:r>
        <w:t xml:space="preserve">  </w:t>
      </w:r>
    </w:p>
    <w:p w:rsidR="00FF4C83" w:rsidRDefault="00FF4C83" w:rsidP="00FF4C83">
      <w:pPr>
        <w:pStyle w:val="nornor"/>
        <w:spacing w:before="0" w:beforeAutospacing="0" w:after="0" w:afterAutospacing="0"/>
      </w:pPr>
      <w:r w:rsidRPr="00FF4C83">
        <w:rPr>
          <w:rStyle w:val="lev"/>
          <w:b w:val="0"/>
          <w:bCs w:val="0"/>
        </w:rPr>
        <w:t>«</w:t>
      </w:r>
      <w:r>
        <w:rPr>
          <w:rStyle w:val="lev"/>
        </w:rPr>
        <w:t> </w:t>
      </w:r>
      <w:r w:rsidR="00B40F1E" w:rsidRPr="00FF4C83">
        <w:rPr>
          <w:rStyle w:val="lev"/>
          <w:b w:val="0"/>
          <w:bCs w:val="0"/>
        </w:rPr>
        <w:t>«</w:t>
      </w:r>
      <w:r w:rsidR="00B40F1E" w:rsidRPr="00FF4C83">
        <w:rPr>
          <w:rStyle w:val="lev"/>
        </w:rPr>
        <w:t> </w:t>
      </w:r>
      <w:r w:rsidR="00B40F1E" w:rsidRPr="00FF4C83">
        <w:rPr>
          <w:rStyle w:val="lev"/>
          <w:color w:val="FF0000"/>
        </w:rPr>
        <w:t>Dans le Livre, il vous a déjà révélé ceci : lorsque vous entendez qu’on renie les versets (le Coran) d’Allah  et qu’on s’en raille</w:t>
      </w:r>
      <w:r w:rsidR="00B40F1E" w:rsidRPr="00FF4C83">
        <w:rPr>
          <w:rStyle w:val="lev"/>
        </w:rPr>
        <w:t> </w:t>
      </w:r>
      <w:r w:rsidR="00B40F1E" w:rsidRPr="00FF4C83">
        <w:rPr>
          <w:rStyle w:val="lev"/>
          <w:b w:val="0"/>
          <w:bCs w:val="0"/>
        </w:rPr>
        <w:t>»</w:t>
      </w:r>
      <w:r>
        <w:rPr>
          <w:rStyle w:val="Appelnotedebasdep"/>
        </w:rPr>
        <w:footnoteReference w:id="1"/>
      </w:r>
      <w:r w:rsidR="00B40F1E" w:rsidRPr="00FF4C83">
        <w:t xml:space="preserve">, le discours s’adresse à l’ensemble de ceux qui ont manifesté de la foi, qu’ils soient sincères ou hypocrites, car si quelqu’un fait preuve de foi, alors il est nécessaire qu’il se conforme aux commandements du Livre d’Allah. Voici ce qui fut révélé par Allah à ce sujet : </w:t>
      </w:r>
      <w:r w:rsidR="00B40F1E" w:rsidRPr="00FF4C83">
        <w:rPr>
          <w:rStyle w:val="q"/>
        </w:rPr>
        <w:t>«</w:t>
      </w:r>
      <w:r w:rsidR="00B40F1E" w:rsidRPr="00FF4C83">
        <w:rPr>
          <w:rStyle w:val="q"/>
          <w:b/>
          <w:bCs/>
        </w:rPr>
        <w:t> </w:t>
      </w:r>
      <w:r w:rsidR="00B40F1E" w:rsidRPr="00FF4C83">
        <w:rPr>
          <w:rStyle w:val="q"/>
          <w:b/>
          <w:bCs/>
          <w:color w:val="FF0000"/>
        </w:rPr>
        <w:t>Quand tu vois ceux qui pataugent dans des discussions à propos de Nos versets, éloigne-toi d'eux jusqu'à ce qu'ils entament une autre discussion.</w:t>
      </w:r>
      <w:r w:rsidR="00B40F1E" w:rsidRPr="00FF4C83">
        <w:rPr>
          <w:rStyle w:val="q"/>
          <w:b/>
          <w:bCs/>
        </w:rPr>
        <w:t> </w:t>
      </w:r>
      <w:r w:rsidR="00B40F1E" w:rsidRPr="00FF4C83">
        <w:rPr>
          <w:rStyle w:val="q"/>
        </w:rPr>
        <w:t>»</w:t>
      </w:r>
      <w:r>
        <w:rPr>
          <w:rStyle w:val="Appelnotedebasdep"/>
        </w:rPr>
        <w:footnoteReference w:id="2"/>
      </w:r>
      <w:r w:rsidR="00B40F1E" w:rsidRPr="00FF4C83">
        <w:rPr>
          <w:rStyle w:val="q"/>
        </w:rPr>
        <w:t>.</w:t>
      </w:r>
      <w:r w:rsidR="00B40F1E" w:rsidRPr="00FF4C83">
        <w:t xml:space="preserve"> </w:t>
      </w:r>
    </w:p>
    <w:p w:rsidR="00FF4C83" w:rsidRDefault="00FF4C83" w:rsidP="00FF4C83">
      <w:pPr>
        <w:pStyle w:val="nornor"/>
        <w:spacing w:before="0" w:beforeAutospacing="0" w:after="0" w:afterAutospacing="0"/>
      </w:pPr>
    </w:p>
    <w:p w:rsidR="00FF4C83" w:rsidRDefault="00B40F1E" w:rsidP="00FF4C83">
      <w:pPr>
        <w:pStyle w:val="nornor"/>
        <w:spacing w:before="0" w:beforeAutospacing="0" w:after="0" w:afterAutospacing="0"/>
      </w:pPr>
      <w:r w:rsidRPr="00FF4C83">
        <w:t>Les hypocrites allaient s’asseoir auprès des rabbins juifs, et se moquaient du Coran. ‘</w:t>
      </w:r>
      <w:proofErr w:type="spellStart"/>
      <w:r w:rsidRPr="00FF4C83">
        <w:t>Âsim</w:t>
      </w:r>
      <w:proofErr w:type="spellEnd"/>
      <w:r w:rsidRPr="00FF4C83">
        <w:t xml:space="preserve"> et </w:t>
      </w:r>
      <w:proofErr w:type="spellStart"/>
      <w:r w:rsidRPr="00FF4C83">
        <w:t>Ya‘qoub</w:t>
      </w:r>
      <w:proofErr w:type="spellEnd"/>
      <w:r w:rsidRPr="00FF4C83">
        <w:t xml:space="preserve"> ont </w:t>
      </w:r>
      <w:r w:rsidRPr="00B51AA2">
        <w:t>lu « </w:t>
      </w:r>
      <w:proofErr w:type="spellStart"/>
      <w:r w:rsidRPr="00B51AA2">
        <w:rPr>
          <w:rStyle w:val="Accentuation"/>
        </w:rPr>
        <w:t>wa</w:t>
      </w:r>
      <w:proofErr w:type="spellEnd"/>
      <w:r w:rsidRPr="00B51AA2">
        <w:rPr>
          <w:rStyle w:val="Accentuation"/>
        </w:rPr>
        <w:t xml:space="preserve"> </w:t>
      </w:r>
      <w:proofErr w:type="spellStart"/>
      <w:r w:rsidRPr="00B51AA2">
        <w:rPr>
          <w:rStyle w:val="Accentuation"/>
        </w:rPr>
        <w:t>qad</w:t>
      </w:r>
      <w:proofErr w:type="spellEnd"/>
      <w:r w:rsidRPr="00B51AA2">
        <w:rPr>
          <w:rStyle w:val="Accentuation"/>
        </w:rPr>
        <w:t xml:space="preserve"> </w:t>
      </w:r>
      <w:proofErr w:type="spellStart"/>
      <w:r w:rsidRPr="00B51AA2">
        <w:rPr>
          <w:rStyle w:val="Accentuation"/>
        </w:rPr>
        <w:t>n</w:t>
      </w:r>
      <w:r w:rsidRPr="00B51AA2">
        <w:rPr>
          <w:rStyle w:val="lev"/>
        </w:rPr>
        <w:t>a</w:t>
      </w:r>
      <w:r w:rsidRPr="00B51AA2">
        <w:rPr>
          <w:rStyle w:val="Accentuation"/>
        </w:rPr>
        <w:t>zz</w:t>
      </w:r>
      <w:r w:rsidRPr="00B51AA2">
        <w:rPr>
          <w:rStyle w:val="lev"/>
        </w:rPr>
        <w:t>a</w:t>
      </w:r>
      <w:r w:rsidRPr="00B51AA2">
        <w:rPr>
          <w:rStyle w:val="Accentuation"/>
        </w:rPr>
        <w:t>la</w:t>
      </w:r>
      <w:proofErr w:type="spellEnd"/>
      <w:r w:rsidR="00FF4C83" w:rsidRPr="00B51AA2">
        <w:t> »</w:t>
      </w:r>
      <w:r w:rsidR="00FF4C83" w:rsidRPr="00B51AA2">
        <w:rPr>
          <w:rStyle w:val="Appelnotedebasdep"/>
        </w:rPr>
        <w:footnoteReference w:id="3"/>
      </w:r>
      <w:r w:rsidRPr="00B51AA2">
        <w:t xml:space="preserve"> e</w:t>
      </w:r>
      <w:r w:rsidRPr="00FF4C83">
        <w:t>n vocalisant par la “</w:t>
      </w:r>
      <w:proofErr w:type="spellStart"/>
      <w:r w:rsidRPr="00FF4C83">
        <w:t>f</w:t>
      </w:r>
      <w:r w:rsidRPr="00FF4C83">
        <w:rPr>
          <w:rStyle w:val="Accentuation"/>
        </w:rPr>
        <w:t>at</w:t>
      </w:r>
      <w:r w:rsidRPr="00FF4C83">
        <w:rPr>
          <w:rStyle w:val="Accentuation"/>
          <w:u w:val="single"/>
        </w:rPr>
        <w:t>h</w:t>
      </w:r>
      <w:r w:rsidRPr="00FF4C83">
        <w:rPr>
          <w:rStyle w:val="Accentuation"/>
        </w:rPr>
        <w:t>a</w:t>
      </w:r>
      <w:proofErr w:type="spellEnd"/>
      <w:r w:rsidRPr="00FF4C83">
        <w:t>” (voyelle “a”) et en redoublant le “</w:t>
      </w:r>
      <w:proofErr w:type="spellStart"/>
      <w:r w:rsidRPr="00FF4C83">
        <w:rPr>
          <w:rStyle w:val="Accentuation"/>
        </w:rPr>
        <w:t>zây</w:t>
      </w:r>
      <w:proofErr w:type="spellEnd"/>
      <w:r w:rsidRPr="00FF4C83">
        <w:t xml:space="preserve">” (“z”), pour mettre en avant le nom d’Allah, que Sa majesté triomphe, lorsque le Très-Haut dit : </w:t>
      </w:r>
      <w:r w:rsidRPr="00FF4C83">
        <w:rPr>
          <w:rStyle w:val="q"/>
        </w:rPr>
        <w:t>«</w:t>
      </w:r>
      <w:r w:rsidRPr="00FF4C83">
        <w:rPr>
          <w:rStyle w:val="q"/>
          <w:b/>
          <w:bCs/>
        </w:rPr>
        <w:t> </w:t>
      </w:r>
      <w:r w:rsidRPr="00FF4C83">
        <w:rPr>
          <w:rStyle w:val="q"/>
          <w:b/>
          <w:bCs/>
          <w:color w:val="FF0000"/>
        </w:rPr>
        <w:t>Or en vérité la puissance appartient entièrement à Allâh.</w:t>
      </w:r>
      <w:r w:rsidRPr="00FF4C83">
        <w:rPr>
          <w:rStyle w:val="q"/>
          <w:b/>
          <w:bCs/>
        </w:rPr>
        <w:t> </w:t>
      </w:r>
      <w:r w:rsidRPr="00FF4C83">
        <w:rPr>
          <w:rStyle w:val="q"/>
        </w:rPr>
        <w:t>»</w:t>
      </w:r>
      <w:r w:rsidR="00FF4C83">
        <w:rPr>
          <w:rStyle w:val="Appelnotedebasdep"/>
        </w:rPr>
        <w:footnoteReference w:id="4"/>
      </w:r>
      <w:r w:rsidRPr="00FF4C83">
        <w:t xml:space="preserve">. </w:t>
      </w:r>
      <w:proofErr w:type="spellStart"/>
      <w:r w:rsidRPr="00FF4C83">
        <w:rPr>
          <w:u w:val="single"/>
        </w:rPr>
        <w:t>H</w:t>
      </w:r>
      <w:r w:rsidRPr="00FF4C83">
        <w:t>amayd</w:t>
      </w:r>
      <w:proofErr w:type="spellEnd"/>
      <w:r w:rsidRPr="00FF4C83">
        <w:t xml:space="preserve"> a fait une lecture presque identique, à ceci près qu’il ne redouble le “</w:t>
      </w:r>
      <w:proofErr w:type="spellStart"/>
      <w:r w:rsidRPr="00FF4C83">
        <w:rPr>
          <w:rStyle w:val="Accentuation"/>
        </w:rPr>
        <w:t>zây</w:t>
      </w:r>
      <w:proofErr w:type="spellEnd"/>
      <w:r w:rsidRPr="00FF4C83">
        <w:t xml:space="preserve">” (“z”). Les autres lecteurs </w:t>
      </w:r>
      <w:r w:rsidRPr="00FF4C83">
        <w:lastRenderedPageBreak/>
        <w:t>lisent « </w:t>
      </w:r>
      <w:proofErr w:type="spellStart"/>
      <w:r w:rsidRPr="00B51AA2">
        <w:rPr>
          <w:rStyle w:val="Accentuation"/>
        </w:rPr>
        <w:t>wa</w:t>
      </w:r>
      <w:proofErr w:type="spellEnd"/>
      <w:r w:rsidRPr="00B51AA2">
        <w:rPr>
          <w:rStyle w:val="Accentuation"/>
        </w:rPr>
        <w:t xml:space="preserve"> </w:t>
      </w:r>
      <w:proofErr w:type="spellStart"/>
      <w:r w:rsidRPr="00B51AA2">
        <w:rPr>
          <w:rStyle w:val="Accentuation"/>
        </w:rPr>
        <w:t>qad</w:t>
      </w:r>
      <w:proofErr w:type="spellEnd"/>
      <w:r w:rsidRPr="00B51AA2">
        <w:rPr>
          <w:rStyle w:val="Accentuation"/>
        </w:rPr>
        <w:t xml:space="preserve"> </w:t>
      </w:r>
      <w:proofErr w:type="spellStart"/>
      <w:r w:rsidRPr="00B51AA2">
        <w:rPr>
          <w:rStyle w:val="Accentuation"/>
        </w:rPr>
        <w:t>n</w:t>
      </w:r>
      <w:r w:rsidRPr="00B51AA2">
        <w:rPr>
          <w:rStyle w:val="lev"/>
        </w:rPr>
        <w:t>ou</w:t>
      </w:r>
      <w:r w:rsidRPr="00B51AA2">
        <w:rPr>
          <w:rStyle w:val="Accentuation"/>
        </w:rPr>
        <w:t>zz</w:t>
      </w:r>
      <w:r w:rsidRPr="00B51AA2">
        <w:rPr>
          <w:rStyle w:val="lev"/>
        </w:rPr>
        <w:t>i</w:t>
      </w:r>
      <w:r w:rsidRPr="00B51AA2">
        <w:rPr>
          <w:rStyle w:val="Accentuation"/>
        </w:rPr>
        <w:t>la</w:t>
      </w:r>
      <w:proofErr w:type="spellEnd"/>
      <w:r w:rsidR="00FF4C83" w:rsidRPr="00FF4C83">
        <w:t> »</w:t>
      </w:r>
      <w:r w:rsidR="00FF4C83" w:rsidRPr="00FF4C83">
        <w:rPr>
          <w:rStyle w:val="Appelnotedebasdep"/>
        </w:rPr>
        <w:footnoteReference w:id="5"/>
      </w:r>
      <w:r w:rsidRPr="00FF4C83">
        <w:t xml:space="preserve">, c’est-à-dire qu’ils emploient la vocalisation de la voix passive. </w:t>
      </w:r>
      <w:r w:rsidRPr="00FF4C83">
        <w:rPr>
          <w:rStyle w:val="lev"/>
          <w:b w:val="0"/>
          <w:bCs w:val="0"/>
        </w:rPr>
        <w:t>«</w:t>
      </w:r>
      <w:r w:rsidRPr="00FF4C83">
        <w:rPr>
          <w:rStyle w:val="lev"/>
        </w:rPr>
        <w:t> </w:t>
      </w:r>
      <w:proofErr w:type="gramStart"/>
      <w:r w:rsidRPr="00B51AA2">
        <w:rPr>
          <w:rStyle w:val="lev"/>
          <w:color w:val="FF0000"/>
        </w:rPr>
        <w:t>an</w:t>
      </w:r>
      <w:proofErr w:type="gramEnd"/>
      <w:r w:rsidRPr="00B51AA2">
        <w:rPr>
          <w:rStyle w:val="lev"/>
          <w:color w:val="FF0000"/>
        </w:rPr>
        <w:t xml:space="preserve"> </w:t>
      </w:r>
      <w:proofErr w:type="spellStart"/>
      <w:r w:rsidRPr="00B51AA2">
        <w:rPr>
          <w:rStyle w:val="lev"/>
          <w:color w:val="FF0000"/>
        </w:rPr>
        <w:t>idha</w:t>
      </w:r>
      <w:proofErr w:type="spellEnd"/>
      <w:r w:rsidRPr="00B51AA2">
        <w:rPr>
          <w:rStyle w:val="lev"/>
          <w:color w:val="FF0000"/>
        </w:rPr>
        <w:t xml:space="preserve"> </w:t>
      </w:r>
      <w:proofErr w:type="spellStart"/>
      <w:r w:rsidRPr="00B51AA2">
        <w:rPr>
          <w:rStyle w:val="lev"/>
          <w:color w:val="FF0000"/>
        </w:rPr>
        <w:t>sami‘toum</w:t>
      </w:r>
      <w:proofErr w:type="spellEnd"/>
      <w:r w:rsidRPr="00B51AA2">
        <w:rPr>
          <w:rStyle w:val="lev"/>
          <w:color w:val="FF0000"/>
        </w:rPr>
        <w:t xml:space="preserve"> </w:t>
      </w:r>
      <w:proofErr w:type="spellStart"/>
      <w:r w:rsidRPr="00B51AA2">
        <w:rPr>
          <w:rStyle w:val="lev"/>
          <w:color w:val="FF0000"/>
        </w:rPr>
        <w:t>ayati</w:t>
      </w:r>
      <w:proofErr w:type="spellEnd"/>
      <w:r w:rsidRPr="00B51AA2">
        <w:rPr>
          <w:rStyle w:val="lev"/>
          <w:color w:val="FF0000"/>
        </w:rPr>
        <w:t xml:space="preserve"> </w:t>
      </w:r>
      <w:proofErr w:type="spellStart"/>
      <w:r w:rsidRPr="00B51AA2">
        <w:rPr>
          <w:rStyle w:val="lev"/>
          <w:color w:val="FF0000"/>
        </w:rPr>
        <w:t>Allahi</w:t>
      </w:r>
      <w:proofErr w:type="spellEnd"/>
      <w:r w:rsidRPr="00FF4C83">
        <w:rPr>
          <w:rStyle w:val="lev"/>
        </w:rPr>
        <w:t> </w:t>
      </w:r>
      <w:r w:rsidRPr="00FF4C83">
        <w:rPr>
          <w:rStyle w:val="lev"/>
          <w:b w:val="0"/>
          <w:bCs w:val="0"/>
        </w:rPr>
        <w:t>»</w:t>
      </w:r>
      <w:r w:rsidRPr="00FF4C83">
        <w:t xml:space="preserve"> </w:t>
      </w:r>
    </w:p>
    <w:p w:rsidR="00FF4C83" w:rsidRDefault="00FF4C83" w:rsidP="00FF4C83">
      <w:pPr>
        <w:pStyle w:val="nornor"/>
        <w:spacing w:before="0" w:beforeAutospacing="0" w:after="0" w:afterAutospacing="0"/>
      </w:pPr>
    </w:p>
    <w:p w:rsidR="00FF4C83" w:rsidRDefault="00B40F1E" w:rsidP="00FF4C83">
      <w:pPr>
        <w:pStyle w:val="nornor"/>
        <w:spacing w:before="0" w:beforeAutospacing="0" w:after="0" w:afterAutospacing="0"/>
      </w:pPr>
      <w:r w:rsidRPr="00FF4C83">
        <w:t xml:space="preserve">[…] </w:t>
      </w:r>
    </w:p>
    <w:p w:rsidR="00FF4C83" w:rsidRDefault="00FF4C83" w:rsidP="00FF4C83">
      <w:pPr>
        <w:pStyle w:val="nornor"/>
        <w:spacing w:before="0" w:beforeAutospacing="0" w:after="0" w:afterAutospacing="0"/>
      </w:pPr>
    </w:p>
    <w:p w:rsidR="00FF4C83" w:rsidRDefault="00B40F1E" w:rsidP="00FF4C83">
      <w:pPr>
        <w:pStyle w:val="nornor"/>
        <w:spacing w:before="0" w:beforeAutospacing="0" w:after="0" w:afterAutospacing="0"/>
      </w:pPr>
      <w:r w:rsidRPr="00FF4C83">
        <w:t>Selon les lectures de ‘</w:t>
      </w:r>
      <w:proofErr w:type="spellStart"/>
      <w:r w:rsidRPr="00FF4C83">
        <w:t>Âsim</w:t>
      </w:r>
      <w:proofErr w:type="spellEnd"/>
      <w:r w:rsidRPr="00FF4C83">
        <w:t xml:space="preserve"> et </w:t>
      </w:r>
      <w:proofErr w:type="spellStart"/>
      <w:r w:rsidRPr="00FF4C83">
        <w:t>Ya‘qûb</w:t>
      </w:r>
      <w:proofErr w:type="spellEnd"/>
      <w:r w:rsidRPr="00FF4C83">
        <w:t xml:space="preserve">, on doit lire </w:t>
      </w:r>
      <w:r w:rsidRPr="00FF4C83">
        <w:rPr>
          <w:rStyle w:val="lev"/>
          <w:b w:val="0"/>
          <w:bCs w:val="0"/>
        </w:rPr>
        <w:t>«</w:t>
      </w:r>
      <w:r w:rsidRPr="00FF4C83">
        <w:rPr>
          <w:rStyle w:val="lev"/>
        </w:rPr>
        <w:t> </w:t>
      </w:r>
      <w:proofErr w:type="spellStart"/>
      <w:r w:rsidRPr="00B51AA2">
        <w:rPr>
          <w:rStyle w:val="lev"/>
          <w:color w:val="FF0000"/>
        </w:rPr>
        <w:t>ayati</w:t>
      </w:r>
      <w:proofErr w:type="spellEnd"/>
      <w:r w:rsidRPr="00B51AA2">
        <w:rPr>
          <w:rStyle w:val="lev"/>
          <w:color w:val="FF0000"/>
        </w:rPr>
        <w:t xml:space="preserve"> </w:t>
      </w:r>
      <w:proofErr w:type="spellStart"/>
      <w:r w:rsidRPr="00B51AA2">
        <w:rPr>
          <w:rStyle w:val="lev"/>
          <w:color w:val="FF0000"/>
        </w:rPr>
        <w:t>Allahi</w:t>
      </w:r>
      <w:proofErr w:type="spellEnd"/>
      <w:r w:rsidRPr="00FF4C83">
        <w:rPr>
          <w:rStyle w:val="lev"/>
        </w:rPr>
        <w:t> </w:t>
      </w:r>
      <w:r w:rsidRPr="00FF4C83">
        <w:rPr>
          <w:rStyle w:val="lev"/>
          <w:b w:val="0"/>
          <w:bCs w:val="0"/>
        </w:rPr>
        <w:t>»</w:t>
      </w:r>
      <w:r w:rsidRPr="00FF4C83">
        <w:t>, c’est-à-dire avec la déclinaison du cas direct (al-</w:t>
      </w:r>
      <w:proofErr w:type="spellStart"/>
      <w:r w:rsidRPr="00FF4C83">
        <w:t>nasb</w:t>
      </w:r>
      <w:proofErr w:type="spellEnd"/>
      <w:r w:rsidRPr="00FF4C83">
        <w:t>) car il est complément d’objet direct du verbe « </w:t>
      </w:r>
      <w:proofErr w:type="spellStart"/>
      <w:r w:rsidRPr="00FF4C83">
        <w:t>sami‘toum</w:t>
      </w:r>
      <w:proofErr w:type="spellEnd"/>
      <w:r w:rsidRPr="00FF4C83">
        <w:t> » (entendez). Pour les autres lecteurs du Coran, on doit lire « </w:t>
      </w:r>
      <w:proofErr w:type="spellStart"/>
      <w:r w:rsidRPr="00FF4C83">
        <w:t>ayatou</w:t>
      </w:r>
      <w:proofErr w:type="spellEnd"/>
      <w:r w:rsidRPr="00FF4C83">
        <w:t xml:space="preserve"> </w:t>
      </w:r>
      <w:proofErr w:type="spellStart"/>
      <w:r w:rsidRPr="00FF4C83">
        <w:t>llahi</w:t>
      </w:r>
      <w:proofErr w:type="spellEnd"/>
      <w:r w:rsidRPr="00FF4C83">
        <w:t> », c’est-à-dire au cas sujet (al-raf‘) car il est complément d’agent du verbe « </w:t>
      </w:r>
      <w:proofErr w:type="spellStart"/>
      <w:r w:rsidRPr="00FF4C83">
        <w:t>youkfar</w:t>
      </w:r>
      <w:proofErr w:type="spellEnd"/>
      <w:r w:rsidRPr="00FF4C83">
        <w:t xml:space="preserve"> », qui est à la voix passive. </w:t>
      </w:r>
    </w:p>
    <w:p w:rsidR="00FF4C83" w:rsidRDefault="00FF4C83" w:rsidP="00FF4C83">
      <w:pPr>
        <w:pStyle w:val="nornor"/>
        <w:spacing w:before="0" w:beforeAutospacing="0" w:after="0" w:afterAutospacing="0"/>
      </w:pPr>
    </w:p>
    <w:p w:rsidR="00B40F1E" w:rsidRPr="00FF4C83" w:rsidRDefault="00B40F1E" w:rsidP="00FF4C83">
      <w:pPr>
        <w:pStyle w:val="nornor"/>
        <w:spacing w:before="0" w:beforeAutospacing="0" w:after="0" w:afterAutospacing="0"/>
      </w:pPr>
      <w:r w:rsidRPr="00FF4C83">
        <w:t xml:space="preserve">[…] </w:t>
      </w:r>
    </w:p>
    <w:p w:rsidR="00B40F1E" w:rsidRPr="00FF4C83" w:rsidRDefault="00B40F1E" w:rsidP="00B40F1E">
      <w:pPr>
        <w:pStyle w:val="nornor"/>
        <w:spacing w:before="0" w:beforeAutospacing="0" w:after="0" w:afterAutospacing="0"/>
      </w:pPr>
      <w:r w:rsidRPr="00FF4C83">
        <w:t xml:space="preserve">  </w:t>
      </w:r>
    </w:p>
    <w:p w:rsidR="00B40F1E" w:rsidRPr="00FF4C83" w:rsidRDefault="00B40F1E" w:rsidP="00FF4C83">
      <w:pPr>
        <w:pStyle w:val="nornor"/>
        <w:spacing w:before="0" w:beforeAutospacing="0" w:after="0" w:afterAutospacing="0"/>
      </w:pPr>
      <w:r w:rsidRPr="00FF4C83">
        <w:t xml:space="preserve">Lorsqu’on lit </w:t>
      </w:r>
      <w:r w:rsidRPr="00FF4C83">
        <w:rPr>
          <w:rStyle w:val="lev"/>
          <w:b w:val="0"/>
          <w:bCs w:val="0"/>
        </w:rPr>
        <w:t>«</w:t>
      </w:r>
      <w:r w:rsidRPr="00FF4C83">
        <w:rPr>
          <w:rStyle w:val="lev"/>
        </w:rPr>
        <w:t> </w:t>
      </w:r>
      <w:proofErr w:type="spellStart"/>
      <w:r w:rsidRPr="00B51AA2">
        <w:rPr>
          <w:rStyle w:val="lev"/>
          <w:color w:val="FF0000"/>
        </w:rPr>
        <w:t>youkfarou</w:t>
      </w:r>
      <w:proofErr w:type="spellEnd"/>
      <w:r w:rsidRPr="00B51AA2">
        <w:rPr>
          <w:rStyle w:val="lev"/>
          <w:color w:val="FF0000"/>
        </w:rPr>
        <w:t xml:space="preserve"> </w:t>
      </w:r>
      <w:proofErr w:type="spellStart"/>
      <w:r w:rsidRPr="00B51AA2">
        <w:rPr>
          <w:rStyle w:val="lev"/>
          <w:color w:val="FF0000"/>
        </w:rPr>
        <w:t>bihâ</w:t>
      </w:r>
      <w:proofErr w:type="spellEnd"/>
      <w:r w:rsidRPr="00FF4C83">
        <w:rPr>
          <w:rStyle w:val="lev"/>
        </w:rPr>
        <w:t> </w:t>
      </w:r>
      <w:r w:rsidRPr="00FF4C83">
        <w:rPr>
          <w:rStyle w:val="lev"/>
          <w:b w:val="0"/>
          <w:bCs w:val="0"/>
        </w:rPr>
        <w:t>»</w:t>
      </w:r>
      <w:r w:rsidR="00FF4C83">
        <w:rPr>
          <w:rStyle w:val="Appelnotedebasdep"/>
        </w:rPr>
        <w:footnoteReference w:id="6"/>
      </w:r>
      <w:r w:rsidRPr="00FF4C83">
        <w:t>, le mot “auxquels” renvoie aux versets auxquels on mécroit et dont on se moque. De la même manière, lorsque, par exemple, on dit en arabe “J’ai entendu ‘</w:t>
      </w:r>
      <w:proofErr w:type="spellStart"/>
      <w:r w:rsidRPr="00FF4C83">
        <w:t>Abd</w:t>
      </w:r>
      <w:proofErr w:type="spellEnd"/>
      <w:r w:rsidRPr="00FF4C83">
        <w:t xml:space="preserve"> Allah être blâmé”, on veut dire “J’ai entendu le blâme sur ‘</w:t>
      </w:r>
      <w:proofErr w:type="spellStart"/>
      <w:r w:rsidRPr="00FF4C83">
        <w:t>Abd</w:t>
      </w:r>
      <w:proofErr w:type="spellEnd"/>
      <w:r w:rsidRPr="00FF4C83">
        <w:t xml:space="preserve"> Allah”. </w:t>
      </w:r>
    </w:p>
    <w:p w:rsidR="00B40F1E" w:rsidRPr="00FF4C83" w:rsidRDefault="00B40F1E" w:rsidP="00B40F1E">
      <w:pPr>
        <w:pStyle w:val="nornor"/>
        <w:spacing w:before="0" w:beforeAutospacing="0" w:after="0" w:afterAutospacing="0"/>
      </w:pPr>
      <w:r w:rsidRPr="00FF4C83">
        <w:t xml:space="preserve">  </w:t>
      </w:r>
    </w:p>
    <w:p w:rsidR="00B40F1E" w:rsidRPr="00FF4C83" w:rsidRDefault="00B40F1E" w:rsidP="00B40F1E">
      <w:pPr>
        <w:pStyle w:val="nornor"/>
        <w:spacing w:before="0" w:beforeAutospacing="0" w:after="0" w:afterAutospacing="0"/>
      </w:pPr>
      <w:r w:rsidRPr="00FF4C83">
        <w:t xml:space="preserve">Lorsque le Très-Haut dit : </w:t>
      </w:r>
      <w:r w:rsidRPr="00FF4C83">
        <w:rPr>
          <w:rStyle w:val="lev"/>
          <w:b w:val="0"/>
          <w:bCs w:val="0"/>
        </w:rPr>
        <w:t>«</w:t>
      </w:r>
      <w:r w:rsidRPr="00FF4C83">
        <w:rPr>
          <w:rStyle w:val="lev"/>
        </w:rPr>
        <w:t xml:space="preserve"> </w:t>
      </w:r>
      <w:r w:rsidRPr="00B51AA2">
        <w:rPr>
          <w:rStyle w:val="lev"/>
          <w:color w:val="FF0000"/>
        </w:rPr>
        <w:t>alors ne vous asseyez point avec ceux-là jusqu’à ce qu’ils entreprennent une autre conversation.</w:t>
      </w:r>
      <w:r w:rsidRPr="00FF4C83">
        <w:rPr>
          <w:rStyle w:val="lev"/>
        </w:rPr>
        <w:t> </w:t>
      </w:r>
      <w:r w:rsidRPr="00FF4C83">
        <w:rPr>
          <w:rStyle w:val="lev"/>
          <w:b w:val="0"/>
          <w:bCs w:val="0"/>
        </w:rPr>
        <w:t>»</w:t>
      </w:r>
      <w:r w:rsidRPr="00FF4C83">
        <w:t xml:space="preserve">, Il sous-entend jusqu’à ce qu’ils entreprennent un discours exempt de mécréance. </w:t>
      </w:r>
    </w:p>
    <w:p w:rsidR="00B40F1E" w:rsidRPr="00FF4C83" w:rsidRDefault="00B40F1E" w:rsidP="00B40F1E">
      <w:pPr>
        <w:pStyle w:val="nornor"/>
        <w:spacing w:before="0" w:beforeAutospacing="0" w:after="0" w:afterAutospacing="0"/>
      </w:pPr>
      <w:r w:rsidRPr="00FF4C83">
        <w:t xml:space="preserve">  </w:t>
      </w:r>
    </w:p>
    <w:p w:rsidR="00B40F1E" w:rsidRPr="00FF4C83" w:rsidRDefault="00B40F1E" w:rsidP="00B40F1E">
      <w:pPr>
        <w:pStyle w:val="nornor"/>
        <w:spacing w:before="0" w:beforeAutospacing="0" w:after="0" w:afterAutospacing="0"/>
      </w:pPr>
      <w:r w:rsidRPr="00FF4C83">
        <w:rPr>
          <w:rStyle w:val="lev"/>
          <w:b w:val="0"/>
          <w:bCs w:val="0"/>
        </w:rPr>
        <w:t>«</w:t>
      </w:r>
      <w:r w:rsidRPr="00FF4C83">
        <w:rPr>
          <w:rStyle w:val="lev"/>
        </w:rPr>
        <w:t> </w:t>
      </w:r>
      <w:r w:rsidRPr="00B51AA2">
        <w:rPr>
          <w:rStyle w:val="lev"/>
          <w:color w:val="FF0000"/>
        </w:rPr>
        <w:t>Sinon, vous serez comme eux</w:t>
      </w:r>
      <w:r w:rsidRPr="00FF4C83">
        <w:rPr>
          <w:rStyle w:val="lev"/>
        </w:rPr>
        <w:t> </w:t>
      </w:r>
      <w:r w:rsidRPr="00FF4C83">
        <w:rPr>
          <w:rStyle w:val="lev"/>
          <w:b w:val="0"/>
          <w:bCs w:val="0"/>
        </w:rPr>
        <w:t>»</w:t>
      </w:r>
      <w:r w:rsidRPr="00FF4C83">
        <w:t xml:space="preserve">. Il s’agit ici de l’obligation d’éviter ceux qui se livrent à la désobéissance, quand ils agissent de façon répréhensible. </w:t>
      </w:r>
      <w:r w:rsidRPr="00FF4C83">
        <w:rPr>
          <w:u w:val="single"/>
        </w:rPr>
        <w:t>En effet, celui qui n’évite pas leur fréquentation, c’est comme s’il agréait leur manière d’agir. Or, agréer la mécréance est de la mécréance</w:t>
      </w:r>
      <w:r w:rsidRPr="00FF4C83">
        <w:t xml:space="preserve">. Allah, qu’Il soit glorifié et exalté a dit : </w:t>
      </w:r>
      <w:r w:rsidRPr="00FF4C83">
        <w:rPr>
          <w:rStyle w:val="lev"/>
          <w:b w:val="0"/>
          <w:bCs w:val="0"/>
        </w:rPr>
        <w:t>«</w:t>
      </w:r>
      <w:r w:rsidRPr="00FF4C83">
        <w:rPr>
          <w:rStyle w:val="lev"/>
        </w:rPr>
        <w:t xml:space="preserve"> </w:t>
      </w:r>
      <w:r w:rsidRPr="00B51AA2">
        <w:rPr>
          <w:rStyle w:val="lev"/>
          <w:color w:val="FF0000"/>
        </w:rPr>
        <w:t>Sinon, vous serez comme eux</w:t>
      </w:r>
      <w:r w:rsidRPr="00FF4C83">
        <w:rPr>
          <w:rStyle w:val="q"/>
          <w:b/>
          <w:bCs/>
        </w:rPr>
        <w:t> </w:t>
      </w:r>
      <w:r w:rsidRPr="00FF4C83">
        <w:rPr>
          <w:rStyle w:val="q"/>
        </w:rPr>
        <w:t>»</w:t>
      </w:r>
      <w:r w:rsidRPr="00FF4C83">
        <w:t xml:space="preserve">. Ainsi, quiconque prend part à une assemblée dont les membres se livrent à la désobéissance, sans les blâmer pour cela, partage avec eux le fardeau de leur péché. Il est nécessaire de les blâmer s’ils parlent et agissent dans un esprit de désobéissance. Si l’on est dans l’incapacité de le faire, il faut au moins leur fausser compagnie, afin de ne pas appartenir aux gens qui sont décrits dans ce verset. </w:t>
      </w:r>
    </w:p>
    <w:p w:rsidR="00B40F1E" w:rsidRPr="00FF4C83" w:rsidRDefault="00B40F1E" w:rsidP="00B40F1E">
      <w:pPr>
        <w:pStyle w:val="nornor"/>
        <w:spacing w:before="0" w:beforeAutospacing="0" w:after="0" w:afterAutospacing="0"/>
      </w:pPr>
      <w:r w:rsidRPr="00FF4C83">
        <w:t xml:space="preserve">  </w:t>
      </w:r>
    </w:p>
    <w:p w:rsidR="00B40F1E" w:rsidRDefault="00B40F1E" w:rsidP="00B40F1E">
      <w:pPr>
        <w:pStyle w:val="nornor"/>
        <w:spacing w:before="0" w:beforeAutospacing="0" w:after="0" w:afterAutospacing="0"/>
      </w:pPr>
      <w:r w:rsidRPr="00FF4C83">
        <w:t>On a rapporté au su</w:t>
      </w:r>
      <w:r w:rsidR="00FF4C83">
        <w:t>jet de ‘Omar ibn ‘</w:t>
      </w:r>
      <w:proofErr w:type="spellStart"/>
      <w:r w:rsidR="00FF4C83">
        <w:t>Abd</w:t>
      </w:r>
      <w:proofErr w:type="spellEnd"/>
      <w:r w:rsidR="00FF4C83">
        <w:t xml:space="preserve"> </w:t>
      </w:r>
      <w:proofErr w:type="spellStart"/>
      <w:r w:rsidR="00FF4C83">
        <w:t>al-‘Azîz</w:t>
      </w:r>
      <w:proofErr w:type="spellEnd"/>
      <w:r w:rsidR="00FF4C83">
        <w:t xml:space="preserve"> -</w:t>
      </w:r>
      <w:r w:rsidR="00FF4C83" w:rsidRPr="00FF4C83">
        <w:rPr>
          <w:i/>
          <w:iCs/>
        </w:rPr>
        <w:t>qu’Allah soit satisfait de lui</w:t>
      </w:r>
      <w:r w:rsidR="00FF4C83">
        <w:t>-</w:t>
      </w:r>
      <w:r w:rsidRPr="00FF4C83">
        <w:t xml:space="preserve"> que celui-ci s’était rendu victorieux d’une tribu où l’on buvait des boissons alcoolisées. On lui fit part d’un homme d’entre eux, qui s’abstenait de cette pratique. Alors, pour l’éduquer, il lui récita ce verset : </w:t>
      </w:r>
      <w:r w:rsidRPr="00FF4C83">
        <w:rPr>
          <w:rStyle w:val="lev"/>
          <w:b w:val="0"/>
          <w:bCs w:val="0"/>
        </w:rPr>
        <w:t>«</w:t>
      </w:r>
      <w:r w:rsidRPr="00FF4C83">
        <w:rPr>
          <w:rStyle w:val="lev"/>
        </w:rPr>
        <w:t xml:space="preserve"> </w:t>
      </w:r>
      <w:r w:rsidRPr="00B51AA2">
        <w:rPr>
          <w:rStyle w:val="lev"/>
          <w:color w:val="FF0000"/>
        </w:rPr>
        <w:t>Sinon, vous serez comme eux</w:t>
      </w:r>
      <w:r w:rsidRPr="00FF4C83">
        <w:rPr>
          <w:rStyle w:val="q"/>
          <w:b/>
          <w:bCs/>
        </w:rPr>
        <w:t> </w:t>
      </w:r>
      <w:r w:rsidRPr="00FF4C83">
        <w:rPr>
          <w:rStyle w:val="q"/>
        </w:rPr>
        <w:t>»</w:t>
      </w:r>
      <w:r w:rsidRPr="00FF4C83">
        <w:t xml:space="preserve">, </w:t>
      </w:r>
      <w:r w:rsidRPr="00FF4C83">
        <w:rPr>
          <w:u w:val="single"/>
        </w:rPr>
        <w:t>ce qui revient à dire qu’agréer le pêché est un pêché.</w:t>
      </w:r>
      <w:r w:rsidRPr="00FF4C83">
        <w:t xml:space="preserve"> C’est pour cette raison que celui qui agit en pêcheur et celui qui agrée son acte, endureront de la même façon le châtiment réservé aux désobéissants ; l’un comme l’autre seront maudits. Cet exemple ne s’applique pas forcément dans tous les cas, mais il montre bien la nécessité d’employer comme preuve le jugement sur l’apparence. Un tel exemple constitue un précédent qui doit être pris comme modèle. </w:t>
      </w:r>
    </w:p>
    <w:p w:rsidR="00FF4C83" w:rsidRPr="00FF4C83" w:rsidRDefault="00FF4C83" w:rsidP="00B40F1E">
      <w:pPr>
        <w:pStyle w:val="nornor"/>
        <w:spacing w:before="0" w:beforeAutospacing="0" w:after="0" w:afterAutospacing="0"/>
      </w:pPr>
    </w:p>
    <w:p w:rsidR="00B40F1E" w:rsidRPr="00FF4C83" w:rsidRDefault="00B40F1E" w:rsidP="00B40F1E">
      <w:pPr>
        <w:pStyle w:val="nornor"/>
        <w:spacing w:before="0" w:beforeAutospacing="0" w:after="0" w:afterAutospacing="0"/>
      </w:pPr>
      <w:r w:rsidRPr="00FF4C83">
        <w:t xml:space="preserve">S’il est établi qu’on se doit d’éviter les gens qui désobéissent, ainsi que nous l’avons démontré, alors les premiers à éviter sont les partisans de l’innovation et ceux qui s’adonnent à leurs passions. </w:t>
      </w:r>
    </w:p>
    <w:p w:rsidR="00B40F1E" w:rsidRPr="00FF4C83" w:rsidRDefault="00B40F1E" w:rsidP="00B40F1E">
      <w:pPr>
        <w:pStyle w:val="nornor"/>
        <w:spacing w:before="0" w:beforeAutospacing="0" w:after="0" w:afterAutospacing="0"/>
      </w:pPr>
      <w:r w:rsidRPr="00FF4C83">
        <w:t xml:space="preserve">  </w:t>
      </w:r>
    </w:p>
    <w:p w:rsidR="00B40F1E" w:rsidRPr="00FF4C83" w:rsidRDefault="00B40F1E" w:rsidP="00B51AA2">
      <w:pPr>
        <w:pStyle w:val="nornor"/>
        <w:spacing w:before="0" w:beforeAutospacing="0" w:after="0" w:afterAutospacing="0"/>
      </w:pPr>
      <w:r w:rsidRPr="00FF4C83">
        <w:lastRenderedPageBreak/>
        <w:t>Al-</w:t>
      </w:r>
      <w:proofErr w:type="spellStart"/>
      <w:r w:rsidRPr="00FF4C83">
        <w:t>Kalbî</w:t>
      </w:r>
      <w:proofErr w:type="spellEnd"/>
      <w:r w:rsidRPr="00FF4C83">
        <w:t xml:space="preserve"> a dit : « Lorsqu’Allah a dit : </w:t>
      </w:r>
      <w:r w:rsidRPr="00FF4C83">
        <w:rPr>
          <w:rStyle w:val="lev"/>
          <w:b w:val="0"/>
          <w:bCs w:val="0"/>
        </w:rPr>
        <w:t>«</w:t>
      </w:r>
      <w:r w:rsidRPr="00FF4C83">
        <w:rPr>
          <w:rStyle w:val="lev"/>
        </w:rPr>
        <w:t xml:space="preserve"> </w:t>
      </w:r>
      <w:r w:rsidRPr="00B51AA2">
        <w:rPr>
          <w:rStyle w:val="lev"/>
          <w:color w:val="FF0000"/>
        </w:rPr>
        <w:t>alors ne vous asseyez point avec ceux-là jusqu’à ce qu’ils entreprennent une autre conversation.</w:t>
      </w:r>
      <w:r w:rsidRPr="00FF4C83">
        <w:rPr>
          <w:rStyle w:val="lev"/>
        </w:rPr>
        <w:t> </w:t>
      </w:r>
      <w:r w:rsidRPr="00FF4C83">
        <w:rPr>
          <w:rStyle w:val="lev"/>
          <w:b w:val="0"/>
          <w:bCs w:val="0"/>
        </w:rPr>
        <w:t>»</w:t>
      </w:r>
      <w:r w:rsidRPr="00FF4C83">
        <w:t xml:space="preserve">, Il a abrogé le verset suivant : </w:t>
      </w:r>
      <w:r w:rsidRPr="00FF4C83">
        <w:rPr>
          <w:rStyle w:val="q"/>
        </w:rPr>
        <w:t>«</w:t>
      </w:r>
      <w:r w:rsidRPr="00FF4C83">
        <w:rPr>
          <w:rStyle w:val="q"/>
          <w:b/>
          <w:bCs/>
        </w:rPr>
        <w:t> </w:t>
      </w:r>
      <w:r w:rsidRPr="00B51AA2">
        <w:rPr>
          <w:rStyle w:val="q"/>
          <w:b/>
          <w:bCs/>
          <w:color w:val="FF0000"/>
        </w:rPr>
        <w:t>Leur compte n’incombe en rien à ceux qui se comportent en piété […]</w:t>
      </w:r>
      <w:r w:rsidRPr="00FF4C83">
        <w:rPr>
          <w:rStyle w:val="q"/>
          <w:b/>
          <w:bCs/>
        </w:rPr>
        <w:t> </w:t>
      </w:r>
      <w:r w:rsidRPr="00FF4C83">
        <w:rPr>
          <w:rStyle w:val="q"/>
        </w:rPr>
        <w:t>»</w:t>
      </w:r>
      <w:r w:rsidR="00FF4C83">
        <w:rPr>
          <w:rStyle w:val="Appelnotedebasdep"/>
        </w:rPr>
        <w:footnoteReference w:id="7"/>
      </w:r>
      <w:r w:rsidRPr="00FF4C83">
        <w:t>. La plupart des commentateu</w:t>
      </w:r>
      <w:r w:rsidR="00B51AA2">
        <w:t>rs ont dit que c’est ce verset</w:t>
      </w:r>
      <w:r w:rsidR="00B51AA2">
        <w:rPr>
          <w:rStyle w:val="Appelnotedebasdep"/>
        </w:rPr>
        <w:footnoteReference w:id="8"/>
      </w:r>
      <w:r w:rsidRPr="00FF4C83">
        <w:t xml:space="preserve"> qui fait autorité. </w:t>
      </w:r>
    </w:p>
    <w:p w:rsidR="00B40F1E" w:rsidRPr="00FF4C83" w:rsidRDefault="00B40F1E" w:rsidP="00B40F1E">
      <w:pPr>
        <w:pStyle w:val="nornor"/>
        <w:spacing w:before="0" w:beforeAutospacing="0" w:after="0" w:afterAutospacing="0"/>
      </w:pPr>
      <w:r w:rsidRPr="00FF4C83">
        <w:t xml:space="preserve">  </w:t>
      </w:r>
    </w:p>
    <w:p w:rsidR="00B40F1E" w:rsidRPr="00FF4C83" w:rsidRDefault="00B40F1E" w:rsidP="00B40F1E">
      <w:pPr>
        <w:pStyle w:val="nornor"/>
        <w:spacing w:before="0" w:beforeAutospacing="0" w:after="0" w:afterAutospacing="0"/>
      </w:pPr>
      <w:proofErr w:type="spellStart"/>
      <w:r w:rsidRPr="00FF4C83">
        <w:t>Joubair</w:t>
      </w:r>
      <w:proofErr w:type="spellEnd"/>
      <w:r w:rsidRPr="00FF4C83">
        <w:t xml:space="preserve"> a raconté, d’après ad-</w:t>
      </w:r>
      <w:proofErr w:type="spellStart"/>
      <w:r w:rsidRPr="00FF4C83">
        <w:t>Dha</w:t>
      </w:r>
      <w:r w:rsidRPr="00FF4C83">
        <w:rPr>
          <w:u w:val="single"/>
        </w:rPr>
        <w:t>h</w:t>
      </w:r>
      <w:r w:rsidR="00B51AA2">
        <w:t>âk</w:t>
      </w:r>
      <w:proofErr w:type="spellEnd"/>
      <w:r w:rsidR="00B51AA2">
        <w:t> : « Ce verset</w:t>
      </w:r>
      <w:r w:rsidR="00B51AA2">
        <w:rPr>
          <w:rStyle w:val="Appelnotedebasdep"/>
        </w:rPr>
        <w:footnoteReference w:id="9"/>
      </w:r>
      <w:r w:rsidRPr="00FF4C83">
        <w:t xml:space="preserve"> a apporté un amendement dans la religion qui s‘applique désormais jusqu’au jour de la Résurrection. » » </w:t>
      </w:r>
    </w:p>
    <w:p w:rsidR="00B40F1E" w:rsidRDefault="00B40F1E"/>
    <w:p w:rsidR="00B51AA2" w:rsidRDefault="00B51AA2"/>
    <w:p w:rsidR="00B51AA2" w:rsidRPr="00FF4C83" w:rsidRDefault="00B51AA2">
      <w:r w:rsidRPr="00447509">
        <w:rPr>
          <w:rFonts w:asciiTheme="majorBidi" w:hAnsiTheme="majorBidi" w:cstheme="majorBidi"/>
          <w:b/>
          <w:bCs/>
          <w:u w:val="single"/>
        </w:rPr>
        <w:t>Source</w:t>
      </w:r>
      <w:r w:rsidRPr="00447509">
        <w:rPr>
          <w:rFonts w:asciiTheme="majorBidi" w:hAnsiTheme="majorBidi" w:cstheme="majorBidi"/>
        </w:rPr>
        <w:t xml:space="preserve"> : </w:t>
      </w:r>
      <w:r w:rsidRPr="00447509">
        <w:rPr>
          <w:rStyle w:val="Accentuation"/>
          <w:rFonts w:asciiTheme="majorBidi" w:hAnsiTheme="majorBidi" w:cstheme="majorBidi"/>
          <w:i w:val="0"/>
          <w:iCs w:val="0"/>
        </w:rPr>
        <w:t xml:space="preserve">Al </w:t>
      </w:r>
      <w:proofErr w:type="spellStart"/>
      <w:r w:rsidRPr="00447509">
        <w:rPr>
          <w:rStyle w:val="Accentuation"/>
          <w:rFonts w:asciiTheme="majorBidi" w:hAnsiTheme="majorBidi" w:cstheme="majorBidi"/>
          <w:i w:val="0"/>
          <w:iCs w:val="0"/>
        </w:rPr>
        <w:t>Jâmi</w:t>
      </w:r>
      <w:proofErr w:type="spellEnd"/>
      <w:r>
        <w:rPr>
          <w:rStyle w:val="Accentuation"/>
          <w:rFonts w:asciiTheme="majorBidi" w:hAnsiTheme="majorBidi" w:cstheme="majorBidi"/>
          <w:i w:val="0"/>
          <w:iCs w:val="0"/>
        </w:rPr>
        <w:t>‘</w:t>
      </w:r>
      <w:r w:rsidRPr="00447509">
        <w:rPr>
          <w:rStyle w:val="Accentuation"/>
          <w:rFonts w:asciiTheme="majorBidi" w:hAnsiTheme="majorBidi" w:cstheme="majorBidi"/>
          <w:i w:val="0"/>
          <w:iCs w:val="0"/>
        </w:rPr>
        <w:t xml:space="preserve"> li </w:t>
      </w:r>
      <w:proofErr w:type="spellStart"/>
      <w:r w:rsidRPr="00447509">
        <w:rPr>
          <w:rStyle w:val="Accentuation"/>
          <w:rFonts w:asciiTheme="majorBidi" w:hAnsiTheme="majorBidi" w:cstheme="majorBidi"/>
          <w:i w:val="0"/>
          <w:iCs w:val="0"/>
        </w:rPr>
        <w:t>A</w:t>
      </w:r>
      <w:r w:rsidRPr="00447509">
        <w:rPr>
          <w:rStyle w:val="Accentuation"/>
          <w:rFonts w:asciiTheme="majorBidi" w:hAnsiTheme="majorBidi" w:cstheme="majorBidi"/>
          <w:i w:val="0"/>
          <w:iCs w:val="0"/>
          <w:u w:val="single"/>
        </w:rPr>
        <w:t>h</w:t>
      </w:r>
      <w:r w:rsidRPr="00447509">
        <w:rPr>
          <w:rStyle w:val="Accentuation"/>
          <w:rFonts w:asciiTheme="majorBidi" w:hAnsiTheme="majorBidi" w:cstheme="majorBidi"/>
          <w:i w:val="0"/>
          <w:iCs w:val="0"/>
        </w:rPr>
        <w:t>kâm</w:t>
      </w:r>
      <w:proofErr w:type="spellEnd"/>
      <w:r>
        <w:rPr>
          <w:rStyle w:val="Accentuation"/>
          <w:rFonts w:asciiTheme="majorBidi" w:hAnsiTheme="majorBidi" w:cstheme="majorBidi"/>
          <w:i w:val="0"/>
          <w:iCs w:val="0"/>
        </w:rPr>
        <w:t>-i</w:t>
      </w:r>
      <w:r w:rsidRPr="00447509">
        <w:rPr>
          <w:rStyle w:val="Accentuation"/>
          <w:rFonts w:asciiTheme="majorBidi" w:hAnsiTheme="majorBidi" w:cstheme="majorBidi"/>
          <w:i w:val="0"/>
          <w:iCs w:val="0"/>
        </w:rPr>
        <w:t xml:space="preserve"> l</w:t>
      </w:r>
      <w:r>
        <w:rPr>
          <w:rStyle w:val="Accentuation"/>
          <w:rFonts w:asciiTheme="majorBidi" w:hAnsiTheme="majorBidi" w:cstheme="majorBidi"/>
          <w:i w:val="0"/>
          <w:iCs w:val="0"/>
        </w:rPr>
        <w:t>-</w:t>
      </w:r>
      <w:proofErr w:type="spellStart"/>
      <w:r w:rsidRPr="00447509">
        <w:rPr>
          <w:rStyle w:val="Accentuation"/>
          <w:rFonts w:asciiTheme="majorBidi" w:hAnsiTheme="majorBidi" w:cstheme="majorBidi"/>
          <w:i w:val="0"/>
          <w:iCs w:val="0"/>
        </w:rPr>
        <w:t>Qur</w:t>
      </w:r>
      <w:proofErr w:type="spellEnd"/>
      <w:r>
        <w:rPr>
          <w:rStyle w:val="Accentuation"/>
          <w:rFonts w:asciiTheme="majorBidi" w:hAnsiTheme="majorBidi" w:cstheme="majorBidi"/>
          <w:i w:val="0"/>
          <w:iCs w:val="0"/>
        </w:rPr>
        <w:t>’</w:t>
      </w:r>
      <w:proofErr w:type="spellStart"/>
      <w:r w:rsidRPr="00447509">
        <w:rPr>
          <w:rStyle w:val="Accentuation"/>
          <w:rFonts w:asciiTheme="majorBidi" w:hAnsiTheme="majorBidi" w:cstheme="majorBidi"/>
          <w:i w:val="0"/>
          <w:iCs w:val="0"/>
        </w:rPr>
        <w:t>ân</w:t>
      </w:r>
      <w:proofErr w:type="spellEnd"/>
      <w:r>
        <w:rPr>
          <w:rStyle w:val="Accentuation"/>
          <w:rFonts w:asciiTheme="majorBidi" w:hAnsiTheme="majorBidi" w:cstheme="majorBidi"/>
          <w:i w:val="0"/>
          <w:iCs w:val="0"/>
        </w:rPr>
        <w:t>.</w:t>
      </w:r>
    </w:p>
    <w:sectPr w:rsidR="00B51AA2" w:rsidRPr="00FF4C83" w:rsidSect="00B40F1E">
      <w:footerReference w:type="default" r:id="rId11"/>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C4E" w:rsidRDefault="00B75C4E" w:rsidP="00B40F1E">
      <w:r>
        <w:separator/>
      </w:r>
    </w:p>
  </w:endnote>
  <w:endnote w:type="continuationSeparator" w:id="0">
    <w:p w:rsidR="00B75C4E" w:rsidRDefault="00B75C4E" w:rsidP="00B40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950"/>
      <w:docPartObj>
        <w:docPartGallery w:val="Page Numbers (Bottom of Page)"/>
        <w:docPartUnique/>
      </w:docPartObj>
    </w:sdtPr>
    <w:sdtEndPr>
      <w:rPr>
        <w:b/>
        <w:bCs/>
      </w:rPr>
    </w:sdtEndPr>
    <w:sdtContent>
      <w:p w:rsidR="00B40F1E" w:rsidRPr="002F5056" w:rsidRDefault="00B40F1E" w:rsidP="00B40F1E">
        <w:pPr>
          <w:pStyle w:val="Pieddepage"/>
          <w:jc w:val="center"/>
          <w:rPr>
            <w:rFonts w:asciiTheme="majorBidi" w:hAnsiTheme="majorBidi" w:cstheme="majorBidi"/>
            <w:b/>
            <w:bCs/>
            <w:color w:val="404040" w:themeColor="text1" w:themeTint="BF"/>
            <w:sz w:val="28"/>
            <w:szCs w:val="28"/>
          </w:rPr>
        </w:pPr>
        <w:hyperlink r:id="rId1" w:history="1">
          <w:r w:rsidRPr="00DE6999">
            <w:rPr>
              <w:rStyle w:val="Lienhypertexte"/>
              <w:rFonts w:asciiTheme="majorBidi" w:hAnsiTheme="majorBidi" w:cstheme="majorBidi"/>
              <w:b/>
              <w:bCs/>
              <w:color w:val="404040" w:themeColor="text1" w:themeTint="BF"/>
              <w:sz w:val="28"/>
              <w:szCs w:val="28"/>
            </w:rPr>
            <w:t>http://bibliotheque-islamique-coran-sunna.over-blog.com/</w:t>
          </w:r>
        </w:hyperlink>
      </w:p>
      <w:p w:rsidR="00B40F1E" w:rsidRDefault="00B40F1E" w:rsidP="00B40F1E">
        <w:pPr>
          <w:pStyle w:val="Pieddepage"/>
          <w:jc w:val="right"/>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5" type="#_x0000_t12" style="position:absolute;left:0;text-align:left;margin-left:425.65pt;margin-top:-13.45pt;width:48pt;height:38.25pt;z-index:-251656192" fillcolor="white [3201]" strokecolor="#c2d69b [1942]" strokeweight="1pt">
              <v:fill color2="#d6e3bc [1302]" focusposition="1" focussize="" focus="100%" type="gradient"/>
              <v:shadow on="t" color="#4e6128 [1606]" opacity=".5" offset="6pt,6pt"/>
            </v:shape>
          </w:pict>
        </w:r>
        <w:r>
          <w:t xml:space="preserve">  </w:t>
        </w:r>
        <w:r w:rsidRPr="00A02E6B">
          <w:rPr>
            <w:b/>
            <w:bCs/>
          </w:rPr>
          <w:fldChar w:fldCharType="begin"/>
        </w:r>
        <w:r w:rsidRPr="00A02E6B">
          <w:rPr>
            <w:b/>
            <w:bCs/>
          </w:rPr>
          <w:instrText xml:space="preserve"> PAGE   \* MERGEFORMAT </w:instrText>
        </w:r>
        <w:r w:rsidRPr="00A02E6B">
          <w:rPr>
            <w:b/>
            <w:bCs/>
          </w:rPr>
          <w:fldChar w:fldCharType="separate"/>
        </w:r>
        <w:r w:rsidR="00B51AA2">
          <w:rPr>
            <w:b/>
            <w:bCs/>
            <w:noProof/>
          </w:rPr>
          <w:t>5</w:t>
        </w:r>
        <w:r w:rsidRPr="00A02E6B">
          <w:rPr>
            <w:b/>
            <w:bCs/>
          </w:rPr>
          <w:fldChar w:fldCharType="end"/>
        </w:r>
      </w:p>
    </w:sdtContent>
  </w:sdt>
  <w:p w:rsidR="00B40F1E" w:rsidRDefault="00B40F1E" w:rsidP="00B40F1E">
    <w:pPr>
      <w:pStyle w:val="Pieddepage"/>
    </w:pPr>
  </w:p>
  <w:p w:rsidR="00B40F1E" w:rsidRDefault="00B40F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C4E" w:rsidRDefault="00B75C4E" w:rsidP="00B40F1E">
      <w:r>
        <w:separator/>
      </w:r>
    </w:p>
  </w:footnote>
  <w:footnote w:type="continuationSeparator" w:id="0">
    <w:p w:rsidR="00B75C4E" w:rsidRDefault="00B75C4E" w:rsidP="00B40F1E">
      <w:r>
        <w:continuationSeparator/>
      </w:r>
    </w:p>
  </w:footnote>
  <w:footnote w:id="1">
    <w:p w:rsidR="00FF4C83" w:rsidRDefault="00FF4C83">
      <w:pPr>
        <w:pStyle w:val="Notedebasdepage"/>
      </w:pPr>
      <w:r>
        <w:rPr>
          <w:rStyle w:val="Appelnotedebasdep"/>
        </w:rPr>
        <w:footnoteRef/>
      </w:r>
      <w:r>
        <w:t xml:space="preserve"> Sourate 4, verset 140.</w:t>
      </w:r>
    </w:p>
  </w:footnote>
  <w:footnote w:id="2">
    <w:p w:rsidR="00FF4C83" w:rsidRDefault="00FF4C83">
      <w:pPr>
        <w:pStyle w:val="Notedebasdepage"/>
      </w:pPr>
      <w:r>
        <w:rPr>
          <w:rStyle w:val="Appelnotedebasdep"/>
        </w:rPr>
        <w:footnoteRef/>
      </w:r>
      <w:r>
        <w:t xml:space="preserve"> </w:t>
      </w:r>
      <w:r w:rsidRPr="00FF4C83">
        <w:t>S</w:t>
      </w:r>
      <w:r>
        <w:t xml:space="preserve">ourate </w:t>
      </w:r>
      <w:r w:rsidRPr="00FF4C83">
        <w:t>6, v</w:t>
      </w:r>
      <w:r>
        <w:t xml:space="preserve">erset </w:t>
      </w:r>
      <w:r w:rsidRPr="00FF4C83">
        <w:t>68</w:t>
      </w:r>
      <w:r>
        <w:t>.</w:t>
      </w:r>
    </w:p>
  </w:footnote>
  <w:footnote w:id="3">
    <w:p w:rsidR="00FF4C83" w:rsidRDefault="00FF4C83" w:rsidP="00FF4C83">
      <w:pPr>
        <w:pStyle w:val="Notedebasdepage"/>
      </w:pPr>
      <w:r>
        <w:rPr>
          <w:rStyle w:val="Appelnotedebasdep"/>
        </w:rPr>
        <w:footnoteRef/>
      </w:r>
      <w:r>
        <w:t xml:space="preserve"> C’est-à-dire. : “Il avait fait descendre / révélé”.</w:t>
      </w:r>
    </w:p>
  </w:footnote>
  <w:footnote w:id="4">
    <w:p w:rsidR="00FF4C83" w:rsidRDefault="00FF4C83">
      <w:pPr>
        <w:pStyle w:val="Notedebasdepage"/>
      </w:pPr>
      <w:r>
        <w:rPr>
          <w:rStyle w:val="Appelnotedebasdep"/>
        </w:rPr>
        <w:footnoteRef/>
      </w:r>
      <w:r>
        <w:t xml:space="preserve"> </w:t>
      </w:r>
      <w:r w:rsidRPr="00FF4C83">
        <w:t>S</w:t>
      </w:r>
      <w:r>
        <w:t xml:space="preserve">ourate </w:t>
      </w:r>
      <w:r w:rsidRPr="00FF4C83">
        <w:t>4, v</w:t>
      </w:r>
      <w:r>
        <w:t xml:space="preserve">erset </w:t>
      </w:r>
      <w:r w:rsidRPr="00FF4C83">
        <w:t>139</w:t>
      </w:r>
      <w:r>
        <w:t>.</w:t>
      </w:r>
    </w:p>
  </w:footnote>
  <w:footnote w:id="5">
    <w:p w:rsidR="00FF4C83" w:rsidRDefault="00FF4C83" w:rsidP="00FF4C83">
      <w:pPr>
        <w:pStyle w:val="Notedebasdepage"/>
      </w:pPr>
      <w:r>
        <w:rPr>
          <w:rStyle w:val="Appelnotedebasdep"/>
        </w:rPr>
        <w:footnoteRef/>
      </w:r>
      <w:r>
        <w:t xml:space="preserve"> C’est-à-dire. : “</w:t>
      </w:r>
      <w:proofErr w:type="gramStart"/>
      <w:r>
        <w:t>il</w:t>
      </w:r>
      <w:proofErr w:type="gramEnd"/>
      <w:r>
        <w:t xml:space="preserve"> est descendu / il a été révélé”.</w:t>
      </w:r>
    </w:p>
  </w:footnote>
  <w:footnote w:id="6">
    <w:p w:rsidR="00FF4C83" w:rsidRDefault="00FF4C83">
      <w:pPr>
        <w:pStyle w:val="Notedebasdepage"/>
      </w:pPr>
      <w:r>
        <w:rPr>
          <w:rStyle w:val="Appelnotedebasdep"/>
        </w:rPr>
        <w:footnoteRef/>
      </w:r>
      <w:r>
        <w:t xml:space="preserve"> C’est</w:t>
      </w:r>
      <w:r w:rsidRPr="00FF4C83">
        <w:t>-à-d</w:t>
      </w:r>
      <w:r>
        <w:t>ire. :</w:t>
      </w:r>
      <w:r w:rsidRPr="00FF4C83">
        <w:t xml:space="preserve"> </w:t>
      </w:r>
      <w:proofErr w:type="gramStart"/>
      <w:r w:rsidRPr="00FF4C83">
        <w:t>littéralement</w:t>
      </w:r>
      <w:proofErr w:type="gramEnd"/>
      <w:r w:rsidRPr="00FF4C83">
        <w:t xml:space="preserve"> en arabe : “auxquels on mécroit”</w:t>
      </w:r>
      <w:r>
        <w:t>.</w:t>
      </w:r>
    </w:p>
  </w:footnote>
  <w:footnote w:id="7">
    <w:p w:rsidR="00FF4C83" w:rsidRDefault="00FF4C83">
      <w:pPr>
        <w:pStyle w:val="Notedebasdepage"/>
      </w:pPr>
      <w:r>
        <w:rPr>
          <w:rStyle w:val="Appelnotedebasdep"/>
        </w:rPr>
        <w:footnoteRef/>
      </w:r>
      <w:r>
        <w:t xml:space="preserve"> </w:t>
      </w:r>
      <w:r w:rsidRPr="00FF4C83">
        <w:rPr>
          <w:rStyle w:val="q"/>
        </w:rPr>
        <w:t>S</w:t>
      </w:r>
      <w:r>
        <w:rPr>
          <w:rStyle w:val="q"/>
        </w:rPr>
        <w:t xml:space="preserve">ourate </w:t>
      </w:r>
      <w:r w:rsidRPr="00FF4C83">
        <w:rPr>
          <w:rStyle w:val="q"/>
        </w:rPr>
        <w:t>6, v</w:t>
      </w:r>
      <w:r>
        <w:rPr>
          <w:rStyle w:val="q"/>
        </w:rPr>
        <w:t xml:space="preserve">erset </w:t>
      </w:r>
      <w:r w:rsidRPr="00FF4C83">
        <w:rPr>
          <w:rStyle w:val="q"/>
        </w:rPr>
        <w:t>69</w:t>
      </w:r>
      <w:r>
        <w:rPr>
          <w:rStyle w:val="q"/>
        </w:rPr>
        <w:t>.</w:t>
      </w:r>
    </w:p>
  </w:footnote>
  <w:footnote w:id="8">
    <w:p w:rsidR="00B51AA2" w:rsidRDefault="00B51AA2">
      <w:pPr>
        <w:pStyle w:val="Notedebasdepage"/>
      </w:pPr>
      <w:r>
        <w:rPr>
          <w:rStyle w:val="Appelnotedebasdep"/>
        </w:rPr>
        <w:footnoteRef/>
      </w:r>
      <w:r>
        <w:t xml:space="preserve"> En parlant de la </w:t>
      </w:r>
      <w:r w:rsidRPr="00FF4C83">
        <w:t>S</w:t>
      </w:r>
      <w:r>
        <w:t xml:space="preserve">ourate </w:t>
      </w:r>
      <w:r w:rsidRPr="00FF4C83">
        <w:t>4, v</w:t>
      </w:r>
      <w:r>
        <w:t xml:space="preserve">erset </w:t>
      </w:r>
      <w:r w:rsidRPr="00FF4C83">
        <w:t>140</w:t>
      </w:r>
      <w:r>
        <w:t>.</w:t>
      </w:r>
    </w:p>
  </w:footnote>
  <w:footnote w:id="9">
    <w:p w:rsidR="00B51AA2" w:rsidRDefault="00B51AA2">
      <w:pPr>
        <w:pStyle w:val="Notedebasdepage"/>
      </w:pPr>
      <w:r>
        <w:rPr>
          <w:rStyle w:val="Appelnotedebasdep"/>
        </w:rPr>
        <w:footnoteRef/>
      </w:r>
      <w:r>
        <w:t xml:space="preserve"> En parlant de la </w:t>
      </w:r>
      <w:r w:rsidRPr="00FF4C83">
        <w:t>S</w:t>
      </w:r>
      <w:r>
        <w:t xml:space="preserve">ourate </w:t>
      </w:r>
      <w:r w:rsidRPr="00FF4C83">
        <w:t>4, v</w:t>
      </w:r>
      <w:r>
        <w:t xml:space="preserve">erset </w:t>
      </w:r>
      <w:r w:rsidRPr="00FF4C83">
        <w:t>140</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4F79"/>
    <w:multiLevelType w:val="hybridMultilevel"/>
    <w:tmpl w:val="2460D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B40F1E"/>
    <w:rsid w:val="00027B22"/>
    <w:rsid w:val="00044B3B"/>
    <w:rsid w:val="000C0174"/>
    <w:rsid w:val="001044C0"/>
    <w:rsid w:val="00107DEC"/>
    <w:rsid w:val="00152159"/>
    <w:rsid w:val="00155319"/>
    <w:rsid w:val="001C28F7"/>
    <w:rsid w:val="00244602"/>
    <w:rsid w:val="00280909"/>
    <w:rsid w:val="002852C3"/>
    <w:rsid w:val="00300C8F"/>
    <w:rsid w:val="00376300"/>
    <w:rsid w:val="003C1DFB"/>
    <w:rsid w:val="003C21F7"/>
    <w:rsid w:val="003D3DCC"/>
    <w:rsid w:val="00401A2D"/>
    <w:rsid w:val="00463B17"/>
    <w:rsid w:val="004B08AB"/>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A85761"/>
    <w:rsid w:val="00AC70E9"/>
    <w:rsid w:val="00B1200F"/>
    <w:rsid w:val="00B40F1E"/>
    <w:rsid w:val="00B51AA2"/>
    <w:rsid w:val="00B51E11"/>
    <w:rsid w:val="00B75C4E"/>
    <w:rsid w:val="00BB0B50"/>
    <w:rsid w:val="00BD7CC8"/>
    <w:rsid w:val="00C53C52"/>
    <w:rsid w:val="00C56B86"/>
    <w:rsid w:val="00CD4EBD"/>
    <w:rsid w:val="00D15EBD"/>
    <w:rsid w:val="00DD202E"/>
    <w:rsid w:val="00ED292B"/>
    <w:rsid w:val="00ED5324"/>
    <w:rsid w:val="00EE3A29"/>
    <w:rsid w:val="00F15898"/>
    <w:rsid w:val="00FD114A"/>
    <w:rsid w:val="00FD2C78"/>
    <w:rsid w:val="00FF4C8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B40F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unhideWhenUsed/>
    <w:rsid w:val="00B40F1E"/>
    <w:pPr>
      <w:spacing w:before="100" w:beforeAutospacing="1" w:after="100" w:afterAutospacing="1"/>
    </w:pPr>
  </w:style>
  <w:style w:type="paragraph" w:customStyle="1" w:styleId="sstrt">
    <w:name w:val="sstrt"/>
    <w:basedOn w:val="Normal"/>
    <w:rsid w:val="00B40F1E"/>
    <w:pPr>
      <w:spacing w:before="100" w:beforeAutospacing="1" w:after="100" w:afterAutospacing="1"/>
    </w:pPr>
  </w:style>
  <w:style w:type="paragraph" w:customStyle="1" w:styleId="nornor">
    <w:name w:val="nornor"/>
    <w:basedOn w:val="Normal"/>
    <w:rsid w:val="00B40F1E"/>
    <w:pPr>
      <w:spacing w:before="100" w:beforeAutospacing="1" w:after="100" w:afterAutospacing="1"/>
    </w:pPr>
  </w:style>
  <w:style w:type="character" w:customStyle="1" w:styleId="q">
    <w:name w:val="q"/>
    <w:basedOn w:val="Policepardfaut"/>
    <w:rsid w:val="00B40F1E"/>
  </w:style>
  <w:style w:type="paragraph" w:styleId="En-tte">
    <w:name w:val="header"/>
    <w:basedOn w:val="Normal"/>
    <w:link w:val="En-tteCar"/>
    <w:uiPriority w:val="99"/>
    <w:semiHidden/>
    <w:unhideWhenUsed/>
    <w:rsid w:val="00B40F1E"/>
    <w:pPr>
      <w:tabs>
        <w:tab w:val="center" w:pos="4536"/>
        <w:tab w:val="right" w:pos="9072"/>
      </w:tabs>
    </w:pPr>
  </w:style>
  <w:style w:type="character" w:customStyle="1" w:styleId="En-tteCar">
    <w:name w:val="En-tête Car"/>
    <w:basedOn w:val="Policepardfaut"/>
    <w:link w:val="En-tte"/>
    <w:uiPriority w:val="99"/>
    <w:semiHidden/>
    <w:rsid w:val="00B40F1E"/>
    <w:rPr>
      <w:sz w:val="24"/>
      <w:szCs w:val="24"/>
    </w:rPr>
  </w:style>
  <w:style w:type="paragraph" w:styleId="Pieddepage">
    <w:name w:val="footer"/>
    <w:basedOn w:val="Normal"/>
    <w:link w:val="PieddepageCar"/>
    <w:uiPriority w:val="99"/>
    <w:unhideWhenUsed/>
    <w:rsid w:val="00B40F1E"/>
    <w:pPr>
      <w:tabs>
        <w:tab w:val="center" w:pos="4536"/>
        <w:tab w:val="right" w:pos="9072"/>
      </w:tabs>
    </w:pPr>
  </w:style>
  <w:style w:type="character" w:customStyle="1" w:styleId="PieddepageCar">
    <w:name w:val="Pied de page Car"/>
    <w:basedOn w:val="Policepardfaut"/>
    <w:link w:val="Pieddepage"/>
    <w:uiPriority w:val="99"/>
    <w:rsid w:val="00B40F1E"/>
    <w:rPr>
      <w:sz w:val="24"/>
      <w:szCs w:val="24"/>
    </w:rPr>
  </w:style>
  <w:style w:type="character" w:styleId="Lienhypertexte">
    <w:name w:val="Hyperlink"/>
    <w:basedOn w:val="Policepardfaut"/>
    <w:uiPriority w:val="99"/>
    <w:unhideWhenUsed/>
    <w:rsid w:val="00B40F1E"/>
    <w:rPr>
      <w:color w:val="0000FF"/>
      <w:u w:val="single"/>
    </w:rPr>
  </w:style>
  <w:style w:type="character" w:customStyle="1" w:styleId="Titre2Car">
    <w:name w:val="Titre 2 Car"/>
    <w:basedOn w:val="Policepardfaut"/>
    <w:link w:val="Titre2"/>
    <w:uiPriority w:val="9"/>
    <w:semiHidden/>
    <w:rsid w:val="00B40F1E"/>
    <w:rPr>
      <w:rFonts w:asciiTheme="majorHAnsi" w:eastAsiaTheme="majorEastAsia" w:hAnsiTheme="majorHAnsi" w:cstheme="majorBidi"/>
      <w:b/>
      <w:bCs/>
      <w:color w:val="4F81BD" w:themeColor="accent1"/>
      <w:sz w:val="26"/>
      <w:szCs w:val="26"/>
    </w:rPr>
  </w:style>
  <w:style w:type="paragraph" w:customStyle="1" w:styleId="standard">
    <w:name w:val="standard"/>
    <w:basedOn w:val="Normal"/>
    <w:rsid w:val="00B40F1E"/>
    <w:pPr>
      <w:spacing w:before="100" w:beforeAutospacing="1" w:after="100" w:afterAutospacing="1"/>
    </w:pPr>
  </w:style>
  <w:style w:type="character" w:customStyle="1" w:styleId="SansinterligneCar">
    <w:name w:val="Sans interligne Car"/>
    <w:basedOn w:val="Policepardfaut"/>
    <w:link w:val="Sansinterligne"/>
    <w:uiPriority w:val="1"/>
    <w:rsid w:val="00B40F1E"/>
    <w:rPr>
      <w:rFonts w:eastAsiaTheme="minorHAnsi" w:cstheme="minorBidi"/>
      <w:sz w:val="24"/>
      <w:szCs w:val="22"/>
      <w:lang w:eastAsia="en-US"/>
    </w:rPr>
  </w:style>
  <w:style w:type="paragraph" w:customStyle="1" w:styleId="Default">
    <w:name w:val="Default"/>
    <w:rsid w:val="00B40F1E"/>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B40F1E"/>
    <w:rPr>
      <w:rFonts w:ascii="Tahoma" w:hAnsi="Tahoma" w:cs="Tahoma"/>
      <w:sz w:val="16"/>
      <w:szCs w:val="16"/>
    </w:rPr>
  </w:style>
  <w:style w:type="character" w:customStyle="1" w:styleId="TextedebullesCar">
    <w:name w:val="Texte de bulles Car"/>
    <w:basedOn w:val="Policepardfaut"/>
    <w:link w:val="Textedebulles"/>
    <w:uiPriority w:val="99"/>
    <w:semiHidden/>
    <w:rsid w:val="00B40F1E"/>
    <w:rPr>
      <w:rFonts w:ascii="Tahoma" w:hAnsi="Tahoma" w:cs="Tahoma"/>
      <w:sz w:val="16"/>
      <w:szCs w:val="16"/>
    </w:rPr>
  </w:style>
  <w:style w:type="paragraph" w:styleId="Notedebasdepage">
    <w:name w:val="footnote text"/>
    <w:basedOn w:val="Normal"/>
    <w:link w:val="NotedebasdepageCar"/>
    <w:uiPriority w:val="99"/>
    <w:semiHidden/>
    <w:unhideWhenUsed/>
    <w:rsid w:val="00FF4C83"/>
    <w:rPr>
      <w:sz w:val="20"/>
      <w:szCs w:val="20"/>
    </w:rPr>
  </w:style>
  <w:style w:type="character" w:customStyle="1" w:styleId="NotedebasdepageCar">
    <w:name w:val="Note de bas de page Car"/>
    <w:basedOn w:val="Policepardfaut"/>
    <w:link w:val="Notedebasdepage"/>
    <w:uiPriority w:val="99"/>
    <w:semiHidden/>
    <w:rsid w:val="00FF4C83"/>
  </w:style>
  <w:style w:type="character" w:styleId="Appelnotedebasdep">
    <w:name w:val="footnote reference"/>
    <w:basedOn w:val="Policepardfaut"/>
    <w:uiPriority w:val="99"/>
    <w:semiHidden/>
    <w:unhideWhenUsed/>
    <w:rsid w:val="00FF4C8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7D7D-778B-4438-9183-F7A1B017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1182</Words>
  <Characters>6502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2011-07-07T14:42:00Z</cp:lastPrinted>
  <dcterms:created xsi:type="dcterms:W3CDTF">2011-07-07T12:46:00Z</dcterms:created>
  <dcterms:modified xsi:type="dcterms:W3CDTF">2011-07-07T14:42:00Z</dcterms:modified>
</cp:coreProperties>
</file>