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73B" w:rsidRDefault="008F273B" w:rsidP="008F273B"/>
    <w:p w:rsidR="008F273B" w:rsidRDefault="008F273B" w:rsidP="008F273B"/>
    <w:p w:rsidR="008F273B" w:rsidRDefault="008F273B" w:rsidP="008F273B"/>
    <w:p w:rsidR="008F273B" w:rsidRDefault="008F273B" w:rsidP="008F273B"/>
    <w:p w:rsidR="008F273B" w:rsidRDefault="008F273B" w:rsidP="008F273B"/>
    <w:p w:rsidR="008F273B" w:rsidRDefault="008F273B" w:rsidP="008F273B"/>
    <w:p w:rsidR="008F273B" w:rsidRDefault="008F273B" w:rsidP="008F273B"/>
    <w:p w:rsidR="008F273B" w:rsidRDefault="008F273B" w:rsidP="008F273B"/>
    <w:p w:rsidR="008F273B" w:rsidRDefault="008F273B" w:rsidP="008F273B"/>
    <w:p w:rsidR="008F273B" w:rsidRDefault="008F273B" w:rsidP="008F273B"/>
    <w:p w:rsidR="008F273B" w:rsidRDefault="008F273B" w:rsidP="008F273B"/>
    <w:p w:rsidR="008F273B" w:rsidRDefault="008F273B" w:rsidP="008F273B"/>
    <w:p w:rsidR="008F273B" w:rsidRDefault="008F273B" w:rsidP="008F273B"/>
    <w:p w:rsidR="008F273B" w:rsidRDefault="008F273B" w:rsidP="008F273B"/>
    <w:p w:rsidR="008F273B" w:rsidRDefault="008F273B" w:rsidP="008F273B"/>
    <w:p w:rsidR="008F273B" w:rsidRDefault="008F273B" w:rsidP="008F273B"/>
    <w:p w:rsidR="008F273B" w:rsidRDefault="008F273B" w:rsidP="008F273B"/>
    <w:p w:rsidR="008F273B" w:rsidRDefault="008F273B" w:rsidP="008F273B"/>
    <w:p w:rsidR="008F273B" w:rsidRPr="00CE66F6" w:rsidRDefault="008F273B" w:rsidP="008F273B">
      <w:pPr>
        <w:rPr>
          <w:rFonts w:asciiTheme="majorBidi" w:hAnsiTheme="majorBidi" w:cstheme="majorBidi"/>
        </w:rPr>
      </w:pPr>
    </w:p>
    <w:p w:rsidR="008F273B" w:rsidRDefault="008F273B" w:rsidP="008F273B">
      <w:pPr>
        <w:jc w:val="right"/>
        <w:rPr>
          <w:color w:val="7F7F7F"/>
          <w:sz w:val="32"/>
          <w:szCs w:val="32"/>
        </w:rPr>
      </w:pPr>
      <w:r w:rsidRPr="001C58D4">
        <w:rPr>
          <w:noProof/>
          <w:color w:val="C4BC96"/>
          <w:sz w:val="32"/>
          <w:szCs w:val="32"/>
          <w:lang w:eastAsia="en-US"/>
        </w:rPr>
        <w:pict>
          <v:group id="_x0000_s1026" style="position:absolute;left:0;text-align:left;margin-left:0;margin-top:0;width:610.2pt;height:790.2pt;z-index:-251658240;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8F273B" w:rsidRPr="005A5A19" w:rsidTr="000A58E3">
        <w:tc>
          <w:tcPr>
            <w:tcW w:w="9576" w:type="dxa"/>
          </w:tcPr>
          <w:p w:rsidR="008F273B" w:rsidRDefault="008F273B" w:rsidP="000A58E3">
            <w:pPr>
              <w:jc w:val="center"/>
              <w:rPr>
                <w:rFonts w:asciiTheme="majorBidi" w:hAnsiTheme="majorBidi" w:cstheme="majorBidi"/>
                <w:b/>
                <w:bCs/>
                <w:i/>
                <w:iCs/>
                <w:color w:val="FFFFFF" w:themeColor="background1"/>
                <w:sz w:val="32"/>
                <w:szCs w:val="32"/>
              </w:rPr>
            </w:pPr>
          </w:p>
          <w:p w:rsidR="008F273B" w:rsidRDefault="008F273B" w:rsidP="000A58E3">
            <w:pPr>
              <w:jc w:val="center"/>
              <w:rPr>
                <w:rFonts w:asciiTheme="majorBidi" w:hAnsiTheme="majorBidi" w:cstheme="majorBidi"/>
                <w:b/>
                <w:bCs/>
                <w:i/>
                <w:iCs/>
                <w:color w:val="FFFFFF" w:themeColor="background1"/>
                <w:sz w:val="32"/>
                <w:szCs w:val="32"/>
              </w:rPr>
            </w:pPr>
          </w:p>
          <w:p w:rsidR="008F273B" w:rsidRPr="00816302" w:rsidRDefault="008F273B" w:rsidP="000A58E3">
            <w:pPr>
              <w:jc w:val="center"/>
              <w:rPr>
                <w:rFonts w:asciiTheme="majorBidi" w:hAnsiTheme="majorBidi" w:cstheme="majorBidi"/>
                <w:b/>
                <w:bCs/>
                <w:i/>
                <w:iCs/>
                <w:color w:val="FFFFFF" w:themeColor="background1"/>
                <w:sz w:val="32"/>
                <w:szCs w:val="32"/>
              </w:rPr>
            </w:pPr>
            <w:r w:rsidRPr="00816302">
              <w:rPr>
                <w:rFonts w:asciiTheme="majorBidi" w:hAnsiTheme="majorBidi" w:cstheme="majorBidi"/>
                <w:b/>
                <w:bCs/>
                <w:i/>
                <w:iCs/>
                <w:color w:val="FFFFFF" w:themeColor="background1"/>
                <w:sz w:val="32"/>
                <w:szCs w:val="32"/>
              </w:rPr>
              <w:t>Par l’Imâm Soulaymân Ibn ‘A</w:t>
            </w:r>
            <w:r>
              <w:rPr>
                <w:rFonts w:asciiTheme="majorBidi" w:hAnsiTheme="majorBidi" w:cstheme="majorBidi"/>
                <w:b/>
                <w:bCs/>
                <w:i/>
                <w:iCs/>
                <w:color w:val="FFFFFF" w:themeColor="background1"/>
                <w:sz w:val="32"/>
                <w:szCs w:val="32"/>
              </w:rPr>
              <w:t>bdAllâh Al Cheikh</w:t>
            </w:r>
          </w:p>
        </w:tc>
      </w:tr>
    </w:tbl>
    <w:p w:rsidR="008F273B" w:rsidRPr="00816302" w:rsidRDefault="008F273B" w:rsidP="008F273B">
      <w:pPr>
        <w:jc w:val="right"/>
        <w:rPr>
          <w:color w:val="7F7F7F"/>
          <w:sz w:val="32"/>
          <w:szCs w:val="32"/>
        </w:rPr>
      </w:pPr>
    </w:p>
    <w:p w:rsidR="008F273B" w:rsidRPr="00816302" w:rsidRDefault="008F273B" w:rsidP="008F273B">
      <w:r w:rsidRPr="001C58D4">
        <w:rPr>
          <w:noProof/>
          <w:color w:val="C4BC96"/>
          <w:sz w:val="32"/>
          <w:szCs w:val="32"/>
          <w:lang w:eastAsia="en-US"/>
        </w:rPr>
        <w:pict>
          <v:rect id="_x0000_s1029" style="position:absolute;margin-left:0;margin-top:0;width:535.65pt;height:76.6pt;z-index:251658240;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9"/>
                  </w:tblGrid>
                  <w:tr w:rsidR="008F273B" w:rsidRPr="00344919" w:rsidTr="00855F53">
                    <w:trPr>
                      <w:trHeight w:val="1080"/>
                    </w:trPr>
                    <w:tc>
                      <w:tcPr>
                        <w:tcW w:w="1000" w:type="pct"/>
                        <w:shd w:val="clear" w:color="auto" w:fill="000000"/>
                        <w:vAlign w:val="center"/>
                      </w:tcPr>
                      <w:p w:rsidR="008F273B" w:rsidRPr="00344919" w:rsidRDefault="008F273B" w:rsidP="00CB7712">
                        <w:pPr>
                          <w:jc w:val="center"/>
                          <w:rPr>
                            <w:smallCaps/>
                            <w:sz w:val="48"/>
                            <w:szCs w:val="48"/>
                          </w:rPr>
                        </w:pPr>
                        <w:r w:rsidRPr="00344919">
                          <w:rPr>
                            <w:smallCaps/>
                            <w:noProof/>
                            <w:sz w:val="48"/>
                            <w:szCs w:val="48"/>
                          </w:rPr>
                          <w:drawing>
                            <wp:inline distT="0" distB="0" distL="0" distR="0">
                              <wp:extent cx="1275080" cy="958215"/>
                              <wp:effectExtent l="19050" t="0" r="1270" b="0"/>
                              <wp:docPr id="15"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8F273B" w:rsidRPr="008F273B" w:rsidRDefault="008F273B" w:rsidP="008F273B">
                        <w:pPr>
                          <w:rPr>
                            <w:b/>
                            <w:bCs/>
                            <w:color w:val="FFFFFF" w:themeColor="background1"/>
                            <w:sz w:val="52"/>
                            <w:szCs w:val="52"/>
                          </w:rPr>
                        </w:pPr>
                        <w:r w:rsidRPr="008F273B">
                          <w:rPr>
                            <w:b/>
                            <w:bCs/>
                            <w:color w:val="FFFFFF" w:themeColor="background1"/>
                            <w:sz w:val="52"/>
                            <w:szCs w:val="52"/>
                          </w:rPr>
                          <w:t>L’approbation de la mécréance est de la mécréance</w:t>
                        </w:r>
                      </w:p>
                    </w:tc>
                  </w:tr>
                </w:tbl>
                <w:p w:rsidR="008F273B" w:rsidRPr="00344919" w:rsidRDefault="008F273B" w:rsidP="008F273B">
                  <w:pPr>
                    <w:pStyle w:val="Sansinterligne"/>
                    <w:spacing w:line="14" w:lineRule="exact"/>
                    <w:rPr>
                      <w:sz w:val="48"/>
                      <w:szCs w:val="48"/>
                    </w:rPr>
                  </w:pPr>
                </w:p>
              </w:txbxContent>
            </v:textbox>
            <w10:wrap anchorx="page" anchory="page"/>
          </v:rect>
        </w:pict>
      </w:r>
      <w:r w:rsidRPr="00816302">
        <w:br w:type="page"/>
      </w:r>
    </w:p>
    <w:p w:rsidR="008F273B" w:rsidRPr="008F273B" w:rsidRDefault="008F273B" w:rsidP="008F273B">
      <w:pPr>
        <w:pStyle w:val="Titre2"/>
        <w:jc w:val="center"/>
        <w:rPr>
          <w:b w:val="0"/>
          <w:bCs w:val="0"/>
        </w:rPr>
      </w:pPr>
      <w:r>
        <w:rPr>
          <w:b w:val="0"/>
          <w:bCs w:val="0"/>
          <w:noProof/>
        </w:rPr>
        <w:lastRenderedPageBreak/>
        <w:drawing>
          <wp:inline distT="0" distB="0" distL="0" distR="0">
            <wp:extent cx="3810000" cy="1905000"/>
            <wp:effectExtent l="0" t="0" r="0" b="0"/>
            <wp:docPr id="16" name="Image 0" descr="bismi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gif"/>
                    <pic:cNvPicPr/>
                  </pic:nvPicPr>
                  <pic:blipFill>
                    <a:blip r:embed="rId8" cstate="print"/>
                    <a:stretch>
                      <a:fillRect/>
                    </a:stretch>
                  </pic:blipFill>
                  <pic:spPr>
                    <a:xfrm>
                      <a:off x="0" y="0"/>
                      <a:ext cx="3810000" cy="1905000"/>
                    </a:xfrm>
                    <a:prstGeom prst="rect">
                      <a:avLst/>
                    </a:prstGeom>
                  </pic:spPr>
                </pic:pic>
              </a:graphicData>
            </a:graphic>
          </wp:inline>
        </w:drawing>
      </w:r>
    </w:p>
    <w:p w:rsidR="008F273B" w:rsidRPr="00D835E1" w:rsidRDefault="008F273B" w:rsidP="008F273B">
      <w:pPr>
        <w:pStyle w:val="nornor"/>
        <w:spacing w:before="0" w:beforeAutospacing="0" w:after="0" w:afterAutospacing="0"/>
        <w:rPr>
          <w:sz w:val="28"/>
          <w:szCs w:val="28"/>
        </w:rPr>
      </w:pPr>
      <w:r>
        <w:rPr>
          <w:rtl/>
        </w:rPr>
        <w:t xml:space="preserve"> </w:t>
      </w:r>
    </w:p>
    <w:p w:rsidR="008F273B" w:rsidRPr="00D835E1" w:rsidRDefault="008F273B" w:rsidP="008F273B">
      <w:pPr>
        <w:pStyle w:val="NormalWeb"/>
        <w:bidi/>
        <w:spacing w:before="0" w:beforeAutospacing="0" w:after="0" w:afterAutospacing="0"/>
        <w:rPr>
          <w:sz w:val="28"/>
          <w:szCs w:val="28"/>
        </w:rPr>
      </w:pPr>
      <w:r w:rsidRPr="00D835E1">
        <w:rPr>
          <w:sz w:val="32"/>
          <w:szCs w:val="32"/>
          <w:u w:val="single"/>
          <w:rtl/>
        </w:rPr>
        <w:t xml:space="preserve">الجزء الثامن: القسم الأول من كتاب الجهاد الدرر السنية في </w:t>
      </w:r>
      <w:proofErr w:type="spellStart"/>
      <w:r w:rsidRPr="00D835E1">
        <w:rPr>
          <w:sz w:val="32"/>
          <w:szCs w:val="32"/>
          <w:u w:val="single"/>
          <w:rtl/>
        </w:rPr>
        <w:t>الجوبة</w:t>
      </w:r>
      <w:proofErr w:type="spellEnd"/>
      <w:r w:rsidRPr="00D835E1">
        <w:rPr>
          <w:sz w:val="32"/>
          <w:szCs w:val="32"/>
          <w:u w:val="single"/>
          <w:rtl/>
        </w:rPr>
        <w:t xml:space="preserve"> النجدية: الصفحة</w:t>
      </w:r>
      <w:r w:rsidRPr="00D835E1">
        <w:rPr>
          <w:sz w:val="28"/>
          <w:szCs w:val="28"/>
          <w:rtl/>
        </w:rPr>
        <w:t xml:space="preserve"> </w:t>
      </w:r>
      <w:r w:rsidRPr="00D835E1">
        <w:rPr>
          <w:sz w:val="28"/>
          <w:szCs w:val="28"/>
        </w:rPr>
        <w:t> </w:t>
      </w:r>
      <w:r w:rsidRPr="00D835E1">
        <w:rPr>
          <w:sz w:val="32"/>
          <w:szCs w:val="32"/>
          <w:u w:val="single"/>
        </w:rPr>
        <w:t> 163</w:t>
      </w:r>
      <w:r w:rsidRPr="00D835E1">
        <w:rPr>
          <w:sz w:val="28"/>
          <w:szCs w:val="28"/>
          <w:rtl/>
        </w:rPr>
        <w:t xml:space="preserve"> </w:t>
      </w:r>
    </w:p>
    <w:p w:rsidR="008F273B" w:rsidRPr="00D835E1" w:rsidRDefault="008F273B" w:rsidP="008F273B">
      <w:pPr>
        <w:pStyle w:val="NormalWeb"/>
        <w:bidi/>
        <w:spacing w:before="0" w:beforeAutospacing="0" w:after="0" w:afterAutospacing="0"/>
        <w:rPr>
          <w:sz w:val="28"/>
          <w:szCs w:val="28"/>
          <w:rtl/>
        </w:rPr>
      </w:pPr>
      <w:r w:rsidRPr="00D835E1">
        <w:rPr>
          <w:sz w:val="32"/>
          <w:szCs w:val="32"/>
        </w:rPr>
        <w:t> </w:t>
      </w:r>
      <w:r w:rsidRPr="00D835E1">
        <w:rPr>
          <w:sz w:val="28"/>
          <w:szCs w:val="28"/>
          <w:rtl/>
        </w:rPr>
        <w:t xml:space="preserve"> </w:t>
      </w:r>
    </w:p>
    <w:p w:rsidR="008F273B" w:rsidRPr="00D835E1" w:rsidRDefault="008F273B" w:rsidP="008F273B">
      <w:pPr>
        <w:pStyle w:val="NormalWeb"/>
        <w:bidi/>
        <w:spacing w:before="0" w:beforeAutospacing="0" w:after="0" w:afterAutospacing="0"/>
        <w:rPr>
          <w:sz w:val="28"/>
          <w:szCs w:val="28"/>
          <w:rtl/>
        </w:rPr>
      </w:pPr>
      <w:proofErr w:type="gramStart"/>
      <w:r w:rsidRPr="00D835E1">
        <w:rPr>
          <w:sz w:val="32"/>
          <w:szCs w:val="32"/>
          <w:rtl/>
        </w:rPr>
        <w:t>المسألة</w:t>
      </w:r>
      <w:proofErr w:type="gramEnd"/>
      <w:r w:rsidRPr="00D835E1">
        <w:rPr>
          <w:sz w:val="32"/>
          <w:szCs w:val="32"/>
          <w:rtl/>
        </w:rPr>
        <w:t xml:space="preserve"> الرابعة</w:t>
      </w:r>
      <w:r w:rsidRPr="00D835E1">
        <w:rPr>
          <w:sz w:val="28"/>
          <w:szCs w:val="28"/>
        </w:rPr>
        <w:t> </w:t>
      </w:r>
      <w:r w:rsidRPr="00D835E1">
        <w:rPr>
          <w:sz w:val="32"/>
          <w:szCs w:val="32"/>
        </w:rPr>
        <w:t> :</w:t>
      </w:r>
      <w:r w:rsidRPr="00D835E1">
        <w:rPr>
          <w:sz w:val="28"/>
          <w:szCs w:val="28"/>
          <w:rtl/>
        </w:rPr>
        <w:t xml:space="preserve"> </w:t>
      </w:r>
      <w:r w:rsidRPr="00D835E1">
        <w:rPr>
          <w:sz w:val="32"/>
          <w:szCs w:val="32"/>
          <w:rtl/>
        </w:rPr>
        <w:t>في معنى قوله تبارك وتعالى:</w:t>
      </w:r>
      <w:r w:rsidRPr="00D835E1">
        <w:rPr>
          <w:sz w:val="28"/>
          <w:szCs w:val="28"/>
          <w:rtl/>
        </w:rPr>
        <w:t xml:space="preserve"> </w:t>
      </w:r>
      <w:r w:rsidRPr="00D835E1">
        <w:rPr>
          <w:color w:val="008000"/>
          <w:sz w:val="32"/>
          <w:szCs w:val="32"/>
          <w:rtl/>
        </w:rPr>
        <w:t>{</w:t>
      </w:r>
      <w:r w:rsidRPr="00D835E1">
        <w:rPr>
          <w:color w:val="FF0000"/>
          <w:sz w:val="32"/>
          <w:szCs w:val="32"/>
          <w:rtl/>
        </w:rPr>
        <w:t xml:space="preserve"> إِنَّكُمْ إِذاً مِّثْلُهُمْ</w:t>
      </w:r>
      <w:r w:rsidRPr="00D835E1">
        <w:rPr>
          <w:color w:val="008000"/>
          <w:sz w:val="32"/>
          <w:szCs w:val="32"/>
          <w:rtl/>
        </w:rPr>
        <w:t xml:space="preserve"> }</w:t>
      </w:r>
      <w:r w:rsidRPr="00D835E1">
        <w:rPr>
          <w:sz w:val="28"/>
          <w:szCs w:val="28"/>
          <w:rtl/>
        </w:rPr>
        <w:t xml:space="preserve"> </w:t>
      </w:r>
      <w:r w:rsidRPr="00D835E1">
        <w:rPr>
          <w:sz w:val="32"/>
          <w:szCs w:val="32"/>
          <w:rtl/>
        </w:rPr>
        <w:t> [ سورة النساء آية: 140]،</w:t>
      </w:r>
      <w:r w:rsidRPr="00D835E1">
        <w:rPr>
          <w:sz w:val="28"/>
          <w:szCs w:val="28"/>
          <w:rtl/>
        </w:rPr>
        <w:t xml:space="preserve"> </w:t>
      </w:r>
      <w:r w:rsidRPr="00D835E1">
        <w:rPr>
          <w:sz w:val="32"/>
          <w:szCs w:val="32"/>
          <w:rtl/>
        </w:rPr>
        <w:t>وقوله صلى الله عليه وسلم في الحديث: « من جامع المشرك وسكن معه، فإنه مثله ».</w:t>
      </w:r>
      <w:r w:rsidRPr="00D835E1">
        <w:rPr>
          <w:sz w:val="28"/>
          <w:szCs w:val="28"/>
          <w:rtl/>
        </w:rPr>
        <w:t xml:space="preserve"> </w:t>
      </w:r>
    </w:p>
    <w:p w:rsidR="008F273B" w:rsidRPr="00D835E1" w:rsidRDefault="008F273B" w:rsidP="008F273B">
      <w:pPr>
        <w:pStyle w:val="NormalWeb"/>
        <w:bidi/>
        <w:spacing w:before="0" w:beforeAutospacing="0" w:after="0" w:afterAutospacing="0"/>
        <w:rPr>
          <w:sz w:val="28"/>
          <w:szCs w:val="28"/>
          <w:rtl/>
        </w:rPr>
      </w:pPr>
      <w:r w:rsidRPr="00D835E1">
        <w:rPr>
          <w:sz w:val="32"/>
          <w:szCs w:val="32"/>
        </w:rPr>
        <w:br/>
      </w:r>
      <w:r w:rsidRPr="00D835E1">
        <w:rPr>
          <w:sz w:val="32"/>
          <w:szCs w:val="32"/>
          <w:rtl/>
        </w:rPr>
        <w:t>الجواب:</w:t>
      </w:r>
      <w:r w:rsidRPr="00D835E1">
        <w:rPr>
          <w:sz w:val="28"/>
          <w:szCs w:val="28"/>
          <w:rtl/>
        </w:rPr>
        <w:t xml:space="preserve"> </w:t>
      </w:r>
      <w:r w:rsidRPr="00D835E1">
        <w:rPr>
          <w:sz w:val="32"/>
          <w:szCs w:val="32"/>
          <w:rtl/>
        </w:rPr>
        <w:t xml:space="preserve">أن معنى الآية على ظاهرها، وهو أن الرجل إذا سمع آيات الله يكفر </w:t>
      </w:r>
      <w:proofErr w:type="spellStart"/>
      <w:r w:rsidRPr="00D835E1">
        <w:rPr>
          <w:sz w:val="32"/>
          <w:szCs w:val="32"/>
          <w:rtl/>
        </w:rPr>
        <w:t>بها</w:t>
      </w:r>
      <w:proofErr w:type="spellEnd"/>
      <w:r w:rsidRPr="00D835E1">
        <w:rPr>
          <w:sz w:val="32"/>
          <w:szCs w:val="32"/>
          <w:rtl/>
        </w:rPr>
        <w:t xml:space="preserve">، ويستهزأ </w:t>
      </w:r>
      <w:proofErr w:type="spellStart"/>
      <w:r w:rsidRPr="00D835E1">
        <w:rPr>
          <w:sz w:val="32"/>
          <w:szCs w:val="32"/>
          <w:rtl/>
        </w:rPr>
        <w:t>بها</w:t>
      </w:r>
      <w:proofErr w:type="spellEnd"/>
      <w:r w:rsidRPr="00D835E1">
        <w:rPr>
          <w:sz w:val="32"/>
          <w:szCs w:val="32"/>
          <w:rtl/>
        </w:rPr>
        <w:t xml:space="preserve">، فجلس عند الكافرين المستهزئين، من غير إكراه ولا إنكار، ولا قيام عنهم، حتى يخوضوا في حديث غيره، فهو كافر مثلهم، وإن لم يفعل فعلهم، لأن ذلك يتضمن الرضاء بالكفر، والرضاء بالكفر كفر. </w:t>
      </w:r>
      <w:proofErr w:type="gramStart"/>
      <w:r w:rsidRPr="00D835E1">
        <w:rPr>
          <w:sz w:val="32"/>
          <w:szCs w:val="32"/>
          <w:rtl/>
        </w:rPr>
        <w:t>وبهذه</w:t>
      </w:r>
      <w:proofErr w:type="gramEnd"/>
      <w:r w:rsidRPr="00D835E1">
        <w:rPr>
          <w:sz w:val="32"/>
          <w:szCs w:val="32"/>
          <w:rtl/>
        </w:rPr>
        <w:t xml:space="preserve"> الآية ونحوها، استدل العلماء على أن الراضي بالذنب كفاعله، فإن ادعى أنه يكره ذلك بقلبه لم يقبل منه، لأن الحكم على الظاهر، وهو قد أظهر الكفر، فيكون كافراً. </w:t>
      </w:r>
      <w:proofErr w:type="gramStart"/>
      <w:r w:rsidRPr="00D835E1">
        <w:rPr>
          <w:sz w:val="32"/>
          <w:szCs w:val="32"/>
          <w:rtl/>
        </w:rPr>
        <w:t>ولهذا</w:t>
      </w:r>
      <w:proofErr w:type="gramEnd"/>
      <w:r w:rsidRPr="00D835E1">
        <w:rPr>
          <w:sz w:val="32"/>
          <w:szCs w:val="32"/>
          <w:rtl/>
        </w:rPr>
        <w:t xml:space="preserve"> لما وقعت الردة بعد موت النبي صلى الله عليه وسلم، وادعى أناس أنهم كرهوا ذلك، لم يقبل منهم الصحابة ذلك، بل جعلوهم كلهم مرتدين، إلا من أنكر بلسانه وقلبه. وكذلك قوله في الحديث: « من جامع المشرك وسكن معه، فإنه مثله » على ظاهره، وهو: أن الذي يدعي الإسلام، ويكون مع المشركين في الاجتماع، والنصرة، والمنـزل معهم، بحيث يعده المشركون منهم، فهو كافر مثلهم، وإن ادعى الإسلام، إلا إن كان يظهر دينه، ولا يوالي المشركين.</w:t>
      </w:r>
      <w:r w:rsidRPr="00D835E1">
        <w:rPr>
          <w:sz w:val="28"/>
          <w:szCs w:val="28"/>
          <w:rtl/>
        </w:rPr>
        <w:t xml:space="preserve"> </w:t>
      </w:r>
    </w:p>
    <w:p w:rsidR="008F273B" w:rsidRDefault="008F273B" w:rsidP="008F273B">
      <w:pPr>
        <w:pStyle w:val="nornor"/>
        <w:spacing w:before="0" w:beforeAutospacing="0" w:after="0" w:afterAutospacing="0"/>
        <w:rPr>
          <w:rtl/>
        </w:rPr>
      </w:pPr>
      <w:r>
        <w:rPr>
          <w:rStyle w:val="lev"/>
        </w:rPr>
        <w:t> </w:t>
      </w:r>
      <w:r>
        <w:t xml:space="preserve"> </w:t>
      </w:r>
    </w:p>
    <w:p w:rsidR="008F273B" w:rsidRPr="00D835E1" w:rsidRDefault="008F273B" w:rsidP="008F273B">
      <w:pPr>
        <w:pStyle w:val="nornor"/>
        <w:spacing w:before="0" w:beforeAutospacing="0" w:after="0" w:afterAutospacing="0"/>
        <w:rPr>
          <w:i/>
          <w:iCs/>
        </w:rPr>
      </w:pPr>
      <w:r>
        <w:rPr>
          <w:rStyle w:val="lev"/>
        </w:rPr>
        <w:t>Quatrième question :</w:t>
      </w:r>
      <w:r>
        <w:t xml:space="preserve"> signification de ce qu’Il a dit, qu’Il soit loué et exalté : </w:t>
      </w:r>
      <w:r w:rsidRPr="00D835E1">
        <w:rPr>
          <w:rStyle w:val="lev"/>
          <w:b w:val="0"/>
          <w:bCs w:val="0"/>
        </w:rPr>
        <w:t>« </w:t>
      </w:r>
      <w:r w:rsidRPr="00D835E1">
        <w:rPr>
          <w:rStyle w:val="lev"/>
          <w:color w:val="FF0000"/>
        </w:rPr>
        <w:t xml:space="preserve">[…] Sinon, vous serez comme eux </w:t>
      </w:r>
      <w:r w:rsidRPr="00D835E1">
        <w:rPr>
          <w:rStyle w:val="q"/>
          <w:color w:val="FF0000"/>
        </w:rPr>
        <w:t>[…]</w:t>
      </w:r>
      <w:r w:rsidRPr="00D835E1">
        <w:rPr>
          <w:rStyle w:val="q"/>
          <w:b/>
          <w:bCs/>
        </w:rPr>
        <w:t> </w:t>
      </w:r>
      <w:r w:rsidRPr="00D835E1">
        <w:rPr>
          <w:rStyle w:val="q"/>
        </w:rPr>
        <w:t>»</w:t>
      </w:r>
      <w:r>
        <w:rPr>
          <w:rStyle w:val="Appelnotedebasdep"/>
        </w:rPr>
        <w:footnoteReference w:id="1"/>
      </w:r>
      <w:r>
        <w:t xml:space="preserve">, et de ce </w:t>
      </w:r>
      <w:r>
        <w:rPr>
          <w:u w:val="single"/>
        </w:rPr>
        <w:t>h</w:t>
      </w:r>
      <w:r>
        <w:t xml:space="preserve">adîth du Prophète, qu’Allah lui accorde la bénédiction et la paix : </w:t>
      </w:r>
      <w:r w:rsidRPr="00D835E1">
        <w:rPr>
          <w:rStyle w:val="Accentuation"/>
          <w:i w:val="0"/>
          <w:iCs w:val="0"/>
        </w:rPr>
        <w:t>« </w:t>
      </w:r>
      <w:r w:rsidRPr="00D835E1">
        <w:rPr>
          <w:rStyle w:val="Accentuation"/>
          <w:b/>
          <w:bCs/>
          <w:i w:val="0"/>
          <w:iCs w:val="0"/>
          <w:color w:val="0070C0"/>
        </w:rPr>
        <w:t>Celui qui s’unit à l’</w:t>
      </w:r>
      <w:proofErr w:type="spellStart"/>
      <w:r w:rsidRPr="00D835E1">
        <w:rPr>
          <w:rStyle w:val="Accentuation"/>
          <w:b/>
          <w:bCs/>
          <w:i w:val="0"/>
          <w:iCs w:val="0"/>
          <w:color w:val="0070C0"/>
        </w:rPr>
        <w:t>associateur</w:t>
      </w:r>
      <w:proofErr w:type="spellEnd"/>
      <w:r w:rsidRPr="00D835E1">
        <w:rPr>
          <w:rStyle w:val="Accentuation"/>
          <w:b/>
          <w:bCs/>
          <w:i w:val="0"/>
          <w:iCs w:val="0"/>
          <w:color w:val="0070C0"/>
        </w:rPr>
        <w:t xml:space="preserve"> et habite avec lui, alors il est comme lui.</w:t>
      </w:r>
      <w:r w:rsidRPr="00D835E1">
        <w:rPr>
          <w:rStyle w:val="Accentuation"/>
          <w:i w:val="0"/>
          <w:iCs w:val="0"/>
        </w:rPr>
        <w:t> »</w:t>
      </w:r>
      <w:r w:rsidRPr="00D835E1">
        <w:rPr>
          <w:i/>
          <w:iCs/>
        </w:rPr>
        <w:t xml:space="preserve"> </w:t>
      </w:r>
    </w:p>
    <w:p w:rsidR="008F273B" w:rsidRDefault="008F273B" w:rsidP="008F273B">
      <w:pPr>
        <w:pStyle w:val="nornor"/>
        <w:spacing w:before="0" w:beforeAutospacing="0" w:after="0" w:afterAutospacing="0"/>
      </w:pPr>
      <w:r>
        <w:t xml:space="preserve">  </w:t>
      </w:r>
    </w:p>
    <w:p w:rsidR="008F273B" w:rsidRDefault="008F273B" w:rsidP="008F273B">
      <w:pPr>
        <w:pStyle w:val="nornor"/>
        <w:spacing w:before="0" w:beforeAutospacing="0" w:after="0" w:afterAutospacing="0"/>
      </w:pPr>
      <w:r>
        <w:rPr>
          <w:rStyle w:val="lev"/>
        </w:rPr>
        <w:t>Réponse :</w:t>
      </w:r>
      <w:r>
        <w:t xml:space="preserve"> « La signification de ce verset est celle qui est apparente, c’est-à-dire que si un homme, entendant qu’on mécroit aux signes d’Allah et qu’on s’en moque, prend place parmi les mécréants qui se moquent, sans leur manifester de désapprobation – qui est la seule attitude juste à leur égard –  </w:t>
      </w:r>
      <w:r>
        <w:rPr>
          <w:u w:val="single"/>
        </w:rPr>
        <w:t>il se trouve être un mécréant comme eux, et ce même s’il ne commet pas les mêmes actes qu’eux. En effet, cela constitue une approbation de la mécréance. Or, l’approbation de la mécréance est de la mécréance</w:t>
      </w:r>
      <w:r>
        <w:t xml:space="preserve">. D’après ce verset, et </w:t>
      </w:r>
      <w:r>
        <w:lastRenderedPageBreak/>
        <w:t xml:space="preserve">d’autres similaires, les savants ont déduit que celui qui approuve le péché est comme celui qui le commet. Donc, s’il prétend détester cela au profond de son cœur, ce n’est pas recevable, car le jugement se porte sur l’apparence. Or, il a montré de la mécréance, ce qui fait de lui un mécréant. </w:t>
      </w:r>
    </w:p>
    <w:p w:rsidR="008F273B" w:rsidRDefault="008F273B" w:rsidP="008F273B">
      <w:pPr>
        <w:pStyle w:val="nornor"/>
        <w:spacing w:before="0" w:beforeAutospacing="0" w:after="0" w:afterAutospacing="0"/>
      </w:pPr>
    </w:p>
    <w:p w:rsidR="008F273B" w:rsidRDefault="008F273B" w:rsidP="008F273B">
      <w:pPr>
        <w:pStyle w:val="nornor"/>
        <w:spacing w:before="0" w:beforeAutospacing="0" w:after="0" w:afterAutospacing="0"/>
      </w:pPr>
      <w:r>
        <w:t>Pour cette raison, lorsque l’apostasie (</w:t>
      </w:r>
      <w:proofErr w:type="spellStart"/>
      <w:r>
        <w:rPr>
          <w:rStyle w:val="Accentuation"/>
        </w:rPr>
        <w:t>ridda</w:t>
      </w:r>
      <w:proofErr w:type="spellEnd"/>
      <w:r>
        <w:t>) fit son apparition à la mort du Prophète, qu’Allah lui accorde la bénédiction et la paix, et que certains prétendirent la détester, les Compagnons n’acceptèrent pas cela de leur part. Bien au contraire, ils les considérèrent tous apostats (</w:t>
      </w:r>
      <w:proofErr w:type="spellStart"/>
      <w:r>
        <w:rPr>
          <w:rStyle w:val="Accentuation"/>
        </w:rPr>
        <w:t>mourtaddin</w:t>
      </w:r>
      <w:proofErr w:type="spellEnd"/>
      <w:r>
        <w:t xml:space="preserve">), sauf ceux qui avaient désapprouvé par leur cœur et par leurs paroles. Ainsi, le sens manifeste du </w:t>
      </w:r>
      <w:r>
        <w:rPr>
          <w:u w:val="single"/>
        </w:rPr>
        <w:t>h</w:t>
      </w:r>
      <w:r>
        <w:t xml:space="preserve">adîth : </w:t>
      </w:r>
      <w:r w:rsidRPr="00D835E1">
        <w:rPr>
          <w:rStyle w:val="Accentuation"/>
          <w:i w:val="0"/>
          <w:iCs w:val="0"/>
        </w:rPr>
        <w:t>« </w:t>
      </w:r>
      <w:r w:rsidRPr="00D835E1">
        <w:rPr>
          <w:rStyle w:val="Accentuation"/>
          <w:b/>
          <w:bCs/>
          <w:i w:val="0"/>
          <w:iCs w:val="0"/>
          <w:color w:val="0070C0"/>
        </w:rPr>
        <w:t>Celui qui s’unit à l’</w:t>
      </w:r>
      <w:proofErr w:type="spellStart"/>
      <w:r w:rsidRPr="00D835E1">
        <w:rPr>
          <w:rStyle w:val="Accentuation"/>
          <w:b/>
          <w:bCs/>
          <w:i w:val="0"/>
          <w:iCs w:val="0"/>
          <w:color w:val="0070C0"/>
        </w:rPr>
        <w:t>associateur</w:t>
      </w:r>
      <w:proofErr w:type="spellEnd"/>
      <w:r w:rsidRPr="00D835E1">
        <w:rPr>
          <w:rStyle w:val="Accentuation"/>
          <w:b/>
          <w:bCs/>
          <w:i w:val="0"/>
          <w:iCs w:val="0"/>
          <w:color w:val="0070C0"/>
        </w:rPr>
        <w:t xml:space="preserve"> et habite avec lui,  alors il est comme lui.</w:t>
      </w:r>
      <w:r w:rsidRPr="00D835E1">
        <w:rPr>
          <w:rStyle w:val="Accentuation"/>
          <w:i w:val="0"/>
          <w:iCs w:val="0"/>
        </w:rPr>
        <w:t> »</w:t>
      </w:r>
      <w:r>
        <w:t xml:space="preserve"> est le suivant : celui qui se revendique de l’Islam, et se trouve parmi les </w:t>
      </w:r>
      <w:proofErr w:type="spellStart"/>
      <w:r>
        <w:t>associatieurs</w:t>
      </w:r>
      <w:proofErr w:type="spellEnd"/>
      <w:r>
        <w:t xml:space="preserve">, inclus dans leur société, partageant leurs habitations, leur prêtant secours, et considéré par eux comme l’un des leurs ; il est </w:t>
      </w:r>
      <w:proofErr w:type="spellStart"/>
      <w:r>
        <w:t>associateur</w:t>
      </w:r>
      <w:proofErr w:type="spellEnd"/>
      <w:r>
        <w:t xml:space="preserve"> comme eux, et même s’il se revendique de l’Islam, sauf s’il manifeste sa religion et ne collabore pas avec les </w:t>
      </w:r>
      <w:proofErr w:type="spellStart"/>
      <w:r>
        <w:t>associateurs</w:t>
      </w:r>
      <w:proofErr w:type="spellEnd"/>
      <w:r>
        <w:t xml:space="preserve">. » </w:t>
      </w:r>
    </w:p>
    <w:p w:rsidR="008F273B" w:rsidRDefault="008F273B" w:rsidP="008F273B">
      <w:pPr>
        <w:pStyle w:val="nornor"/>
        <w:spacing w:before="0" w:beforeAutospacing="0" w:after="0" w:afterAutospacing="0"/>
      </w:pPr>
    </w:p>
    <w:p w:rsidR="008F273B" w:rsidRDefault="008F273B" w:rsidP="008F273B">
      <w:pPr>
        <w:pStyle w:val="nornor"/>
        <w:spacing w:before="0" w:beforeAutospacing="0" w:after="0" w:afterAutospacing="0"/>
      </w:pPr>
    </w:p>
    <w:p w:rsidR="008F273B" w:rsidRDefault="008F273B" w:rsidP="008F273B">
      <w:pPr>
        <w:pStyle w:val="nornor"/>
        <w:spacing w:before="0" w:beforeAutospacing="0" w:after="0" w:afterAutospacing="0"/>
      </w:pPr>
      <w:r w:rsidRPr="008F273B">
        <w:rPr>
          <w:b/>
          <w:bCs/>
          <w:u w:val="single"/>
        </w:rPr>
        <w:t>Source</w:t>
      </w:r>
      <w:r>
        <w:t xml:space="preserve"> : </w:t>
      </w:r>
      <w:proofErr w:type="spellStart"/>
      <w:r>
        <w:rPr>
          <w:color w:val="000000"/>
        </w:rPr>
        <w:t>Dourar</w:t>
      </w:r>
      <w:proofErr w:type="spellEnd"/>
      <w:r>
        <w:rPr>
          <w:color w:val="000000"/>
        </w:rPr>
        <w:t xml:space="preserve"> As-</w:t>
      </w:r>
      <w:proofErr w:type="spellStart"/>
      <w:r>
        <w:rPr>
          <w:color w:val="000000"/>
        </w:rPr>
        <w:t>Saniya</w:t>
      </w:r>
      <w:proofErr w:type="spellEnd"/>
      <w:r>
        <w:rPr>
          <w:color w:val="000000"/>
        </w:rPr>
        <w:t>, tome 8, page 163.</w:t>
      </w:r>
      <w:r>
        <w:t xml:space="preserve"> </w:t>
      </w:r>
    </w:p>
    <w:p w:rsidR="008F273B" w:rsidRDefault="008F273B"/>
    <w:sectPr w:rsidR="008F273B" w:rsidSect="008F273B">
      <w:footerReference w:type="default" r:id="rId9"/>
      <w:pgSz w:w="11906" w:h="16838" w:code="9"/>
      <w:pgMar w:top="1417" w:right="1417" w:bottom="1417" w:left="1417"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FE1" w:rsidRDefault="00833FE1" w:rsidP="008F273B">
      <w:r>
        <w:separator/>
      </w:r>
    </w:p>
  </w:endnote>
  <w:endnote w:type="continuationSeparator" w:id="0">
    <w:p w:rsidR="00833FE1" w:rsidRDefault="00833FE1" w:rsidP="008F273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7950"/>
      <w:docPartObj>
        <w:docPartGallery w:val="Page Numbers (Bottom of Page)"/>
        <w:docPartUnique/>
      </w:docPartObj>
    </w:sdtPr>
    <w:sdtEndPr>
      <w:rPr>
        <w:b/>
        <w:bCs/>
        <w:color w:val="FFFFFF" w:themeColor="background1"/>
      </w:rPr>
    </w:sdtEndPr>
    <w:sdtContent>
      <w:p w:rsidR="008F273B" w:rsidRPr="002F5056" w:rsidRDefault="008F273B" w:rsidP="008F273B">
        <w:pPr>
          <w:pStyle w:val="Pieddepage"/>
          <w:jc w:val="center"/>
          <w:rPr>
            <w:rFonts w:asciiTheme="majorBidi" w:hAnsiTheme="majorBidi" w:cstheme="majorBidi"/>
            <w:b/>
            <w:bCs/>
            <w:color w:val="404040" w:themeColor="text1" w:themeTint="BF"/>
            <w:sz w:val="28"/>
            <w:szCs w:val="28"/>
          </w:rPr>
        </w:pPr>
        <w:hyperlink r:id="rId1" w:history="1">
          <w:r w:rsidRPr="00DE6999">
            <w:rPr>
              <w:rStyle w:val="Lienhypertexte"/>
              <w:rFonts w:asciiTheme="majorBidi" w:hAnsiTheme="majorBidi" w:cstheme="majorBidi"/>
              <w:b/>
              <w:bCs/>
              <w:color w:val="404040" w:themeColor="text1" w:themeTint="BF"/>
              <w:sz w:val="28"/>
              <w:szCs w:val="28"/>
            </w:rPr>
            <w:t>http://bibliotheque-islamique-coran-sunna.over-blog.com/</w:t>
          </w:r>
        </w:hyperlink>
      </w:p>
      <w:p w:rsidR="008F273B" w:rsidRPr="008F273B" w:rsidRDefault="008F273B" w:rsidP="008F273B">
        <w:pPr>
          <w:pStyle w:val="Pieddepage"/>
          <w:jc w:val="right"/>
          <w:rPr>
            <w:color w:val="FFFFFF" w:themeColor="background1"/>
          </w:rPr>
        </w:pP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049" type="#_x0000_t12" style="position:absolute;left:0;text-align:left;margin-left:425.65pt;margin-top:-13.45pt;width:48pt;height:38.25pt;z-index:-251658240" fillcolor="#f79646 [3209]" strokecolor="#f2f2f2 [3041]" strokeweight="1pt">
              <v:fill color2="#974706 [1609]" angle="-135" focusposition="1" focussize="" focus="100%" type="gradient"/>
              <v:shadow on="t" type="perspective" color="#fbd4b4 [1305]" opacity=".5" origin=",.5" offset="0,0" matrix=",-56756f,,.5"/>
            </v:shape>
          </w:pict>
        </w:r>
        <w:r>
          <w:t xml:space="preserve">  </w:t>
        </w:r>
        <w:r w:rsidRPr="008F273B">
          <w:rPr>
            <w:b/>
            <w:bCs/>
            <w:color w:val="FFFFFF" w:themeColor="background1"/>
          </w:rPr>
          <w:fldChar w:fldCharType="begin"/>
        </w:r>
        <w:r w:rsidRPr="008F273B">
          <w:rPr>
            <w:b/>
            <w:bCs/>
            <w:color w:val="FFFFFF" w:themeColor="background1"/>
          </w:rPr>
          <w:instrText xml:space="preserve"> PAGE   \* MERGEFORMAT </w:instrText>
        </w:r>
        <w:r w:rsidRPr="008F273B">
          <w:rPr>
            <w:b/>
            <w:bCs/>
            <w:color w:val="FFFFFF" w:themeColor="background1"/>
          </w:rPr>
          <w:fldChar w:fldCharType="separate"/>
        </w:r>
        <w:r>
          <w:rPr>
            <w:b/>
            <w:bCs/>
            <w:noProof/>
            <w:color w:val="FFFFFF" w:themeColor="background1"/>
          </w:rPr>
          <w:t>3</w:t>
        </w:r>
        <w:r w:rsidRPr="008F273B">
          <w:rPr>
            <w:b/>
            <w:bCs/>
            <w:color w:val="FFFFFF" w:themeColor="background1"/>
          </w:rPr>
          <w:fldChar w:fldCharType="end"/>
        </w:r>
      </w:p>
    </w:sdtContent>
  </w:sdt>
  <w:p w:rsidR="008F273B" w:rsidRDefault="008F273B" w:rsidP="008F273B">
    <w:pPr>
      <w:pStyle w:val="Pieddepage"/>
    </w:pPr>
  </w:p>
  <w:p w:rsidR="008F273B" w:rsidRDefault="008F273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FE1" w:rsidRDefault="00833FE1" w:rsidP="008F273B">
      <w:r>
        <w:separator/>
      </w:r>
    </w:p>
  </w:footnote>
  <w:footnote w:type="continuationSeparator" w:id="0">
    <w:p w:rsidR="00833FE1" w:rsidRDefault="00833FE1" w:rsidP="008F273B">
      <w:r>
        <w:continuationSeparator/>
      </w:r>
    </w:p>
  </w:footnote>
  <w:footnote w:id="1">
    <w:p w:rsidR="008F273B" w:rsidRDefault="008F273B">
      <w:pPr>
        <w:pStyle w:val="Notedebasdepage"/>
      </w:pPr>
      <w:r>
        <w:rPr>
          <w:rStyle w:val="Appelnotedebasdep"/>
        </w:rPr>
        <w:footnoteRef/>
      </w:r>
      <w:r>
        <w:t xml:space="preserve"> Sourate 4, verset 140.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F273B"/>
    <w:rsid w:val="00027B22"/>
    <w:rsid w:val="00044B3B"/>
    <w:rsid w:val="000C0174"/>
    <w:rsid w:val="001044C0"/>
    <w:rsid w:val="00107DEC"/>
    <w:rsid w:val="00152159"/>
    <w:rsid w:val="00155319"/>
    <w:rsid w:val="001C28F7"/>
    <w:rsid w:val="00244602"/>
    <w:rsid w:val="00280909"/>
    <w:rsid w:val="002852C3"/>
    <w:rsid w:val="00300C8F"/>
    <w:rsid w:val="00376300"/>
    <w:rsid w:val="003C1DFB"/>
    <w:rsid w:val="003C21F7"/>
    <w:rsid w:val="003D3DCC"/>
    <w:rsid w:val="00401A2D"/>
    <w:rsid w:val="00463B17"/>
    <w:rsid w:val="004B08AB"/>
    <w:rsid w:val="00574E95"/>
    <w:rsid w:val="00576D00"/>
    <w:rsid w:val="00584A92"/>
    <w:rsid w:val="005C627F"/>
    <w:rsid w:val="005D4304"/>
    <w:rsid w:val="005F2C01"/>
    <w:rsid w:val="00610866"/>
    <w:rsid w:val="00616207"/>
    <w:rsid w:val="0067161B"/>
    <w:rsid w:val="00702CE1"/>
    <w:rsid w:val="00704369"/>
    <w:rsid w:val="00741238"/>
    <w:rsid w:val="00762C54"/>
    <w:rsid w:val="00764046"/>
    <w:rsid w:val="0079737A"/>
    <w:rsid w:val="007A55E2"/>
    <w:rsid w:val="007F5F17"/>
    <w:rsid w:val="00833FE1"/>
    <w:rsid w:val="008514F4"/>
    <w:rsid w:val="008C115B"/>
    <w:rsid w:val="008F273B"/>
    <w:rsid w:val="00915D23"/>
    <w:rsid w:val="00932B9E"/>
    <w:rsid w:val="00937064"/>
    <w:rsid w:val="009912A1"/>
    <w:rsid w:val="00994B1C"/>
    <w:rsid w:val="009965BA"/>
    <w:rsid w:val="009A61DA"/>
    <w:rsid w:val="00AC70E9"/>
    <w:rsid w:val="00B1200F"/>
    <w:rsid w:val="00B51E11"/>
    <w:rsid w:val="00BB0B50"/>
    <w:rsid w:val="00BD7CC8"/>
    <w:rsid w:val="00C53C52"/>
    <w:rsid w:val="00C56B86"/>
    <w:rsid w:val="00CD4EBD"/>
    <w:rsid w:val="00D15EBD"/>
    <w:rsid w:val="00DD202E"/>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8F2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uiPriority w:val="22"/>
    <w:qFormat/>
    <w:rsid w:val="00576D00"/>
    <w:rPr>
      <w:b/>
      <w:bCs/>
    </w:rPr>
  </w:style>
  <w:style w:type="paragraph" w:styleId="NormalWeb">
    <w:name w:val="Normal (Web)"/>
    <w:basedOn w:val="Normal"/>
    <w:uiPriority w:val="99"/>
    <w:unhideWhenUsed/>
    <w:rsid w:val="008F273B"/>
    <w:pPr>
      <w:spacing w:before="100" w:beforeAutospacing="1" w:after="100" w:afterAutospacing="1"/>
    </w:pPr>
  </w:style>
  <w:style w:type="paragraph" w:customStyle="1" w:styleId="nornor">
    <w:name w:val="nornor"/>
    <w:basedOn w:val="Normal"/>
    <w:rsid w:val="008F273B"/>
    <w:pPr>
      <w:spacing w:before="100" w:beforeAutospacing="1" w:after="100" w:afterAutospacing="1"/>
    </w:pPr>
  </w:style>
  <w:style w:type="character" w:customStyle="1" w:styleId="q">
    <w:name w:val="q"/>
    <w:basedOn w:val="Policepardfaut"/>
    <w:rsid w:val="008F273B"/>
  </w:style>
  <w:style w:type="character" w:customStyle="1" w:styleId="SansinterligneCar">
    <w:name w:val="Sans interligne Car"/>
    <w:basedOn w:val="Policepardfaut"/>
    <w:link w:val="Sansinterligne"/>
    <w:uiPriority w:val="1"/>
    <w:rsid w:val="008F273B"/>
    <w:rPr>
      <w:rFonts w:eastAsiaTheme="minorHAnsi" w:cstheme="minorBidi"/>
      <w:sz w:val="24"/>
      <w:szCs w:val="22"/>
      <w:lang w:eastAsia="en-US"/>
    </w:rPr>
  </w:style>
  <w:style w:type="paragraph" w:styleId="Notedebasdepage">
    <w:name w:val="footnote text"/>
    <w:basedOn w:val="Normal"/>
    <w:link w:val="NotedebasdepageCar"/>
    <w:uiPriority w:val="99"/>
    <w:semiHidden/>
    <w:unhideWhenUsed/>
    <w:rsid w:val="008F273B"/>
    <w:rPr>
      <w:sz w:val="20"/>
      <w:szCs w:val="20"/>
    </w:rPr>
  </w:style>
  <w:style w:type="character" w:customStyle="1" w:styleId="NotedebasdepageCar">
    <w:name w:val="Note de bas de page Car"/>
    <w:basedOn w:val="Policepardfaut"/>
    <w:link w:val="Notedebasdepage"/>
    <w:uiPriority w:val="99"/>
    <w:semiHidden/>
    <w:rsid w:val="008F273B"/>
  </w:style>
  <w:style w:type="character" w:styleId="Appelnotedebasdep">
    <w:name w:val="footnote reference"/>
    <w:basedOn w:val="Policepardfaut"/>
    <w:uiPriority w:val="99"/>
    <w:semiHidden/>
    <w:unhideWhenUsed/>
    <w:rsid w:val="008F273B"/>
    <w:rPr>
      <w:vertAlign w:val="superscript"/>
    </w:rPr>
  </w:style>
  <w:style w:type="character" w:customStyle="1" w:styleId="Titre2Car">
    <w:name w:val="Titre 2 Car"/>
    <w:basedOn w:val="Policepardfaut"/>
    <w:link w:val="Titre2"/>
    <w:uiPriority w:val="9"/>
    <w:rsid w:val="008F273B"/>
    <w:rPr>
      <w:rFonts w:asciiTheme="majorHAnsi" w:eastAsiaTheme="majorEastAsia" w:hAnsiTheme="majorHAnsi" w:cstheme="majorBidi"/>
      <w:b/>
      <w:bCs/>
      <w:color w:val="4F81BD" w:themeColor="accent1"/>
      <w:sz w:val="26"/>
      <w:szCs w:val="26"/>
    </w:rPr>
  </w:style>
  <w:style w:type="paragraph" w:styleId="Textedebulles">
    <w:name w:val="Balloon Text"/>
    <w:basedOn w:val="Normal"/>
    <w:link w:val="TextedebullesCar"/>
    <w:uiPriority w:val="99"/>
    <w:semiHidden/>
    <w:unhideWhenUsed/>
    <w:rsid w:val="008F273B"/>
    <w:rPr>
      <w:rFonts w:ascii="Tahoma" w:hAnsi="Tahoma" w:cs="Tahoma"/>
      <w:sz w:val="16"/>
      <w:szCs w:val="16"/>
    </w:rPr>
  </w:style>
  <w:style w:type="character" w:customStyle="1" w:styleId="TextedebullesCar">
    <w:name w:val="Texte de bulles Car"/>
    <w:basedOn w:val="Policepardfaut"/>
    <w:link w:val="Textedebulles"/>
    <w:uiPriority w:val="99"/>
    <w:semiHidden/>
    <w:rsid w:val="008F273B"/>
    <w:rPr>
      <w:rFonts w:ascii="Tahoma" w:hAnsi="Tahoma" w:cs="Tahoma"/>
      <w:sz w:val="16"/>
      <w:szCs w:val="16"/>
    </w:rPr>
  </w:style>
  <w:style w:type="paragraph" w:styleId="En-tte">
    <w:name w:val="header"/>
    <w:basedOn w:val="Normal"/>
    <w:link w:val="En-tteCar"/>
    <w:uiPriority w:val="99"/>
    <w:semiHidden/>
    <w:unhideWhenUsed/>
    <w:rsid w:val="008F273B"/>
    <w:pPr>
      <w:tabs>
        <w:tab w:val="center" w:pos="4536"/>
        <w:tab w:val="right" w:pos="9072"/>
      </w:tabs>
    </w:pPr>
  </w:style>
  <w:style w:type="character" w:customStyle="1" w:styleId="En-tteCar">
    <w:name w:val="En-tête Car"/>
    <w:basedOn w:val="Policepardfaut"/>
    <w:link w:val="En-tte"/>
    <w:uiPriority w:val="99"/>
    <w:semiHidden/>
    <w:rsid w:val="008F273B"/>
    <w:rPr>
      <w:sz w:val="24"/>
      <w:szCs w:val="24"/>
    </w:rPr>
  </w:style>
  <w:style w:type="paragraph" w:styleId="Pieddepage">
    <w:name w:val="footer"/>
    <w:basedOn w:val="Normal"/>
    <w:link w:val="PieddepageCar"/>
    <w:uiPriority w:val="99"/>
    <w:unhideWhenUsed/>
    <w:rsid w:val="008F273B"/>
    <w:pPr>
      <w:tabs>
        <w:tab w:val="center" w:pos="4536"/>
        <w:tab w:val="right" w:pos="9072"/>
      </w:tabs>
    </w:pPr>
  </w:style>
  <w:style w:type="character" w:customStyle="1" w:styleId="PieddepageCar">
    <w:name w:val="Pied de page Car"/>
    <w:basedOn w:val="Policepardfaut"/>
    <w:link w:val="Pieddepage"/>
    <w:uiPriority w:val="99"/>
    <w:rsid w:val="008F273B"/>
    <w:rPr>
      <w:sz w:val="24"/>
      <w:szCs w:val="24"/>
    </w:rPr>
  </w:style>
  <w:style w:type="character" w:styleId="Lienhypertexte">
    <w:name w:val="Hyperlink"/>
    <w:basedOn w:val="Policepardfaut"/>
    <w:uiPriority w:val="99"/>
    <w:unhideWhenUsed/>
    <w:rsid w:val="008F273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04F57-5A40-4620-A791-53B0BB0E5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492</Words>
  <Characters>2712</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2011-07-07T16:35:00Z</cp:lastPrinted>
  <dcterms:created xsi:type="dcterms:W3CDTF">2011-07-07T16:26:00Z</dcterms:created>
  <dcterms:modified xsi:type="dcterms:W3CDTF">2011-07-07T16:36:00Z</dcterms:modified>
</cp:coreProperties>
</file>