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Pr="00CE66F6" w:rsidRDefault="006D4EFE" w:rsidP="006D4EFE">
      <w:pPr>
        <w:rPr>
          <w:rFonts w:asciiTheme="majorBidi" w:hAnsiTheme="majorBidi" w:cstheme="majorBidi"/>
        </w:rPr>
      </w:pPr>
    </w:p>
    <w:p w:rsidR="006D4EFE" w:rsidRDefault="006D4EFE" w:rsidP="006D4EFE">
      <w:pPr>
        <w:jc w:val="right"/>
        <w:rPr>
          <w:color w:val="7F7F7F"/>
          <w:sz w:val="32"/>
          <w:szCs w:val="32"/>
        </w:rPr>
      </w:pPr>
      <w:r w:rsidRPr="00345BE6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6D4EFE" w:rsidRPr="00D10DD1" w:rsidTr="00C90B96">
        <w:tc>
          <w:tcPr>
            <w:tcW w:w="9576" w:type="dxa"/>
          </w:tcPr>
          <w:p w:rsidR="006D4EFE" w:rsidRDefault="006D4EFE" w:rsidP="00C90B9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6D4EFE" w:rsidRDefault="006D4EFE" w:rsidP="00C90B9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6D4EFE" w:rsidRPr="00D10DD1" w:rsidRDefault="006D4EFE" w:rsidP="00C90B9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â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 Ibn Jarîr At-Tabar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î</w:t>
            </w:r>
          </w:p>
        </w:tc>
      </w:tr>
    </w:tbl>
    <w:p w:rsidR="006D4EFE" w:rsidRPr="00D10DD1" w:rsidRDefault="006D4EFE" w:rsidP="006D4EFE">
      <w:pPr>
        <w:jc w:val="right"/>
        <w:rPr>
          <w:color w:val="7F7F7F"/>
          <w:sz w:val="32"/>
          <w:szCs w:val="32"/>
          <w:lang w:val="en-US"/>
        </w:rPr>
      </w:pPr>
    </w:p>
    <w:p w:rsidR="006D4EFE" w:rsidRPr="00D10DD1" w:rsidRDefault="006D4EFE" w:rsidP="006D4EFE">
      <w:pPr>
        <w:rPr>
          <w:lang w:val="en-US"/>
        </w:rPr>
      </w:pPr>
      <w:r w:rsidRPr="00345BE6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6D4EFE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6D4EFE" w:rsidRPr="00344919" w:rsidRDefault="006D4EFE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5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6D4EFE" w:rsidRPr="006D4EFE" w:rsidRDefault="006D4EFE" w:rsidP="006D4EFE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6D4EFE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Exégèse [Tafsir] : « </w:t>
                        </w:r>
                        <w:r w:rsidRPr="006D4EFE">
                          <w:rPr>
                            <w:rStyle w:val="Accentuation"/>
                            <w:rFonts w:asciiTheme="majorBidi" w:hAnsiTheme="majorBidi" w:cstheme="majorBidi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34"/>
                            <w:szCs w:val="34"/>
                          </w:rPr>
                          <w:t>Mais, à cause de ce que leurs mains ont déjà commis, ils ne la souhaiteront jamais. </w:t>
                        </w:r>
                        <w:r w:rsidRPr="006D4EFE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» ; Sourate 2 [Al-Baqara], Verset 95</w:t>
                        </w:r>
                      </w:p>
                    </w:tc>
                  </w:tr>
                </w:tbl>
                <w:p w:rsidR="006D4EFE" w:rsidRPr="00344919" w:rsidRDefault="006D4EFE" w:rsidP="006D4EFE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D10DD1">
        <w:rPr>
          <w:lang w:val="en-US"/>
        </w:rPr>
        <w:br w:type="page"/>
      </w:r>
    </w:p>
    <w:p w:rsidR="006D4EFE" w:rsidRDefault="006D4EFE" w:rsidP="006D4EFE">
      <w:pPr>
        <w:pStyle w:val="Titre2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3810000" cy="1905000"/>
            <wp:effectExtent l="0" t="0" r="0" b="0"/>
            <wp:docPr id="6" name="Image 0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FE" w:rsidRDefault="006D4EFE" w:rsidP="006D4EFE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  <w:r w:rsidRPr="00916CDE">
        <w:rPr>
          <w:rFonts w:asciiTheme="majorBidi" w:hAnsiTheme="majorBidi" w:cstheme="majorBidi"/>
          <w:color w:val="262626" w:themeColor="text1" w:themeTint="D9"/>
        </w:rPr>
        <w:br/>
      </w:r>
    </w:p>
    <w:p w:rsidR="006D4EFE" w:rsidRPr="00916CDE" w:rsidRDefault="006D4EFE" w:rsidP="006D4EFE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</w:p>
    <w:p w:rsidR="006D4EFE" w:rsidRPr="00AF284A" w:rsidRDefault="006D4EFE" w:rsidP="006D4EFE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AF284A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6D4EFE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Mais, à cause de ce que leurs mains ont déjà commis, ils ne la souhaiteront jamais.</w:t>
      </w:r>
      <w:r>
        <w:rPr>
          <w:rStyle w:val="Accentuation"/>
          <w:rFonts w:asciiTheme="majorBidi" w:hAnsiTheme="majorBidi" w:cstheme="majorBidi"/>
          <w:i w:val="0"/>
          <w:iCs w:val="0"/>
          <w:color w:val="333366"/>
        </w:rPr>
        <w:t xml:space="preserve"> </w:t>
      </w:r>
      <w:r w:rsidRPr="00AF284A">
        <w:rPr>
          <w:rStyle w:val="Accentuation"/>
          <w:rFonts w:asciiTheme="majorBidi" w:hAnsiTheme="majorBidi" w:cstheme="majorBidi"/>
          <w:i w:val="0"/>
          <w:iCs w:val="0"/>
          <w:szCs w:val="24"/>
        </w:rPr>
        <w:t>»</w:t>
      </w:r>
    </w:p>
    <w:p w:rsidR="006D4EFE" w:rsidRPr="00D74B27" w:rsidRDefault="006D4EFE" w:rsidP="006D4EFE">
      <w:pPr>
        <w:pStyle w:val="Sansinterligne"/>
        <w:jc w:val="center"/>
        <w:rPr>
          <w:rFonts w:asciiTheme="majorBidi" w:hAnsiTheme="majorBidi" w:cstheme="majorBidi"/>
        </w:rPr>
      </w:pPr>
      <w:r w:rsidRPr="00D74B27">
        <w:rPr>
          <w:rFonts w:asciiTheme="majorBidi" w:hAnsiTheme="majorBidi" w:cstheme="majorBidi"/>
        </w:rPr>
        <w:t>[S</w:t>
      </w:r>
      <w:r>
        <w:rPr>
          <w:rFonts w:asciiTheme="majorBidi" w:hAnsiTheme="majorBidi" w:cstheme="majorBidi"/>
        </w:rPr>
        <w:t>ourate</w:t>
      </w:r>
      <w:r w:rsidRPr="00D74B2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2, Verset</w:t>
      </w:r>
      <w:r w:rsidRPr="00D74B2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95</w:t>
      </w:r>
      <w:r w:rsidRPr="00D74B27">
        <w:rPr>
          <w:rFonts w:asciiTheme="majorBidi" w:hAnsiTheme="majorBidi" w:cstheme="majorBidi"/>
        </w:rPr>
        <w:t>]</w:t>
      </w:r>
    </w:p>
    <w:p w:rsidR="006D4EFE" w:rsidRPr="00D74B27" w:rsidRDefault="006D4EFE" w:rsidP="006D4EFE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6D4EFE" w:rsidRDefault="006D4EFE" w:rsidP="006D4EFE">
      <w:pPr>
        <w:pStyle w:val="Sansinterligne"/>
        <w:rPr>
          <w:rFonts w:asciiTheme="majorBidi" w:hAnsiTheme="majorBidi" w:cstheme="majorBidi"/>
          <w:color w:val="000000"/>
        </w:rPr>
      </w:pPr>
      <w:r w:rsidRPr="00916CDE">
        <w:rPr>
          <w:rFonts w:asciiTheme="majorBidi" w:hAnsiTheme="majorBidi" w:cstheme="majorBidi"/>
          <w:color w:val="333366"/>
        </w:rPr>
        <w:br/>
      </w:r>
    </w:p>
    <w:p w:rsidR="006D4EFE" w:rsidRPr="00916CDE" w:rsidRDefault="006D4EFE" w:rsidP="006D4EFE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6D4EFE" w:rsidRPr="00916CDE" w:rsidRDefault="006D4EFE" w:rsidP="006D4EFE">
      <w:pPr>
        <w:pStyle w:val="Sansinterligne"/>
        <w:rPr>
          <w:rFonts w:asciiTheme="majorBidi" w:hAnsiTheme="majorBidi" w:cstheme="majorBidi"/>
          <w:color w:val="000000"/>
        </w:rPr>
      </w:pPr>
    </w:p>
    <w:p w:rsidR="006D4EFE" w:rsidRDefault="006D4EFE" w:rsidP="006D4EFE">
      <w:pPr>
        <w:pStyle w:val="Sansinterligne"/>
        <w:rPr>
          <w:rFonts w:asciiTheme="majorBidi" w:hAnsiTheme="majorBidi" w:cstheme="majorBidi"/>
          <w:color w:val="000000"/>
        </w:rPr>
      </w:pPr>
    </w:p>
    <w:p w:rsidR="006D4EFE" w:rsidRDefault="006D4EFE" w:rsidP="006D4EFE">
      <w:pPr>
        <w:pStyle w:val="Sansinterligne"/>
        <w:rPr>
          <w:rFonts w:asciiTheme="majorBidi" w:hAnsiTheme="majorBidi" w:cstheme="majorBidi"/>
        </w:rPr>
      </w:pPr>
      <w:proofErr w:type="spellStart"/>
      <w:r w:rsidRPr="00D74B27">
        <w:rPr>
          <w:rFonts w:asciiTheme="majorBidi" w:hAnsiTheme="majorBidi" w:cstheme="majorBidi"/>
          <w:color w:val="000000"/>
        </w:rPr>
        <w:t>A</w:t>
      </w:r>
      <w:r w:rsidRPr="00D74B27">
        <w:rPr>
          <w:rFonts w:asciiTheme="majorBidi" w:hAnsiTheme="majorBidi" w:cstheme="majorBidi"/>
          <w:color w:val="000000"/>
          <w:u w:val="single"/>
        </w:rPr>
        <w:t>t</w:t>
      </w:r>
      <w:proofErr w:type="spellEnd"/>
      <w:r w:rsidRPr="00D74B27">
        <w:rPr>
          <w:rFonts w:asciiTheme="majorBidi" w:hAnsiTheme="majorBidi" w:cstheme="majorBidi"/>
          <w:color w:val="000000"/>
        </w:rPr>
        <w:t>-</w:t>
      </w:r>
      <w:proofErr w:type="spellStart"/>
      <w:r w:rsidRPr="00D74B27">
        <w:rPr>
          <w:rFonts w:asciiTheme="majorBidi" w:hAnsiTheme="majorBidi" w:cstheme="majorBidi"/>
          <w:color w:val="000000"/>
          <w:u w:val="single"/>
        </w:rPr>
        <w:t>T</w:t>
      </w:r>
      <w:r w:rsidRPr="00D74B27">
        <w:rPr>
          <w:rFonts w:asciiTheme="majorBidi" w:hAnsiTheme="majorBidi" w:cstheme="majorBidi"/>
          <w:color w:val="000000"/>
        </w:rPr>
        <w:t>abarî</w:t>
      </w:r>
      <w:proofErr w:type="spellEnd"/>
      <w:r w:rsidRPr="00D74B27">
        <w:rPr>
          <w:rFonts w:asciiTheme="majorBidi" w:hAnsiTheme="majorBidi" w:cstheme="majorBidi"/>
        </w:rPr>
        <w:t xml:space="preserve"> -</w:t>
      </w:r>
      <w:r w:rsidRPr="00AF284A">
        <w:rPr>
          <w:rFonts w:asciiTheme="majorBidi" w:hAnsiTheme="majorBidi" w:cstheme="majorBidi"/>
          <w:i/>
          <w:iCs/>
        </w:rPr>
        <w:t>qu’Allâh lui fasse Miséricorde</w:t>
      </w:r>
      <w:r w:rsidRPr="00D74B27">
        <w:rPr>
          <w:rFonts w:asciiTheme="majorBidi" w:hAnsiTheme="majorBidi" w:cstheme="majorBidi"/>
        </w:rPr>
        <w:t xml:space="preserve">- a dit : </w:t>
      </w:r>
    </w:p>
    <w:p w:rsidR="006D4EFE" w:rsidRPr="006D4EFE" w:rsidRDefault="006D4EFE" w:rsidP="006D4EFE">
      <w:pPr>
        <w:pStyle w:val="Sansinterligne"/>
        <w:rPr>
          <w:rFonts w:asciiTheme="majorBidi" w:hAnsiTheme="majorBidi" w:cstheme="majorBidi"/>
        </w:rPr>
      </w:pPr>
      <w:r w:rsidRPr="0047619D">
        <w:rPr>
          <w:rFonts w:asciiTheme="majorBidi" w:hAnsiTheme="majorBidi" w:cstheme="majorBidi"/>
        </w:rPr>
        <w:t xml:space="preserve">  </w:t>
      </w:r>
    </w:p>
    <w:p w:rsidR="006D4EFE" w:rsidRPr="006D4EFE" w:rsidRDefault="006D4EFE" w:rsidP="006D4EFE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  <w:r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6D4EFE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Du fait des fautes qu'ils ont commises avant, même si ces fautes ont été commises autrement que par leurs mains. </w:t>
      </w:r>
    </w:p>
    <w:p w:rsidR="006D4EFE" w:rsidRPr="006D4EFE" w:rsidRDefault="006D4EFE" w:rsidP="006D4EFE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</w:p>
    <w:p w:rsidR="006D4EFE" w:rsidRPr="006D4EFE" w:rsidRDefault="006D4EFE" w:rsidP="006D4EFE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  <w:r w:rsidRPr="006D4EFE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Ceci est justifié, car les fautes les plus graves commises par les hommes sont accomplies avec les mains. </w:t>
      </w:r>
    </w:p>
    <w:p w:rsidR="006D4EFE" w:rsidRPr="006D4EFE" w:rsidRDefault="006D4EFE" w:rsidP="006D4EFE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</w:p>
    <w:p w:rsidR="006D4EFE" w:rsidRDefault="006D4EFE" w:rsidP="006D4EFE">
      <w:pPr>
        <w:pStyle w:val="Sansinterligne"/>
        <w:rPr>
          <w:rFonts w:asciiTheme="majorBidi" w:hAnsiTheme="majorBidi" w:cstheme="majorBidi"/>
        </w:rPr>
      </w:pPr>
      <w:r w:rsidRPr="006D4EFE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[Or, il est fréquent dans la langue arabe d'attribuer le tout à une de ses parties], c'est pourquoi il est permis d'attribuer l'ensemble des fautes commises par quelqu'un à des actes de ses mains</w:t>
      </w:r>
      <w:r w:rsidRPr="006D4EFE">
        <w:rPr>
          <w:rStyle w:val="Accentuation"/>
          <w:rFonts w:asciiTheme="majorBidi" w:hAnsiTheme="majorBidi" w:cstheme="majorBidi"/>
          <w:i w:val="0"/>
          <w:iCs w:val="0"/>
        </w:rPr>
        <w:t>. »</w:t>
      </w:r>
      <w:r>
        <w:rPr>
          <w:rStyle w:val="Appelnotedebasdep"/>
          <w:rFonts w:asciiTheme="majorBidi" w:hAnsiTheme="majorBidi" w:cstheme="majorBidi"/>
        </w:rPr>
        <w:footnoteReference w:id="1"/>
      </w:r>
      <w:r w:rsidRPr="006D4EFE">
        <w:rPr>
          <w:rFonts w:asciiTheme="majorBidi" w:hAnsiTheme="majorBidi" w:cstheme="majorBidi"/>
        </w:rPr>
        <w:t xml:space="preserve"> </w:t>
      </w:r>
    </w:p>
    <w:p w:rsidR="006D4EFE" w:rsidRDefault="006D4EFE" w:rsidP="006D4EFE">
      <w:pPr>
        <w:pStyle w:val="Sansinterligne"/>
        <w:rPr>
          <w:rFonts w:asciiTheme="majorBidi" w:hAnsiTheme="majorBidi" w:cstheme="majorBidi"/>
        </w:rPr>
      </w:pPr>
    </w:p>
    <w:p w:rsidR="006D4EFE" w:rsidRDefault="006D4EFE">
      <w:pPr>
        <w:rPr>
          <w:rFonts w:asciiTheme="majorBidi" w:hAnsiTheme="majorBidi" w:cstheme="majorBidi"/>
        </w:rPr>
      </w:pPr>
    </w:p>
    <w:p w:rsidR="00704369" w:rsidRDefault="006D4EFE">
      <w:r w:rsidRPr="003C15C7">
        <w:rPr>
          <w:rFonts w:asciiTheme="majorBidi" w:hAnsiTheme="majorBidi" w:cstheme="majorBidi"/>
          <w:b/>
          <w:bCs/>
          <w:u w:val="single"/>
        </w:rPr>
        <w:t>Source</w:t>
      </w:r>
      <w:r w:rsidRPr="003C15C7">
        <w:rPr>
          <w:rFonts w:asciiTheme="majorBidi" w:hAnsiTheme="majorBidi" w:cstheme="majorBidi"/>
        </w:rPr>
        <w:t xml:space="preserve"> : </w:t>
      </w:r>
      <w:r w:rsidRPr="003C15C7">
        <w:rPr>
          <w:rFonts w:asciiTheme="majorBidi" w:hAnsiTheme="majorBidi" w:cstheme="majorBidi"/>
          <w:color w:val="000000"/>
        </w:rPr>
        <w:t xml:space="preserve">Al </w:t>
      </w:r>
      <w:proofErr w:type="spellStart"/>
      <w:r w:rsidRPr="003C15C7">
        <w:rPr>
          <w:rFonts w:asciiTheme="majorBidi" w:hAnsiTheme="majorBidi" w:cstheme="majorBidi"/>
          <w:color w:val="000000"/>
        </w:rPr>
        <w:t>Jâmi‘</w:t>
      </w:r>
      <w:r>
        <w:rPr>
          <w:rFonts w:asciiTheme="majorBidi" w:hAnsiTheme="majorBidi" w:cstheme="majorBidi"/>
          <w:color w:val="000000"/>
        </w:rPr>
        <w:t>u</w:t>
      </w:r>
      <w:proofErr w:type="spellEnd"/>
      <w:r w:rsidRPr="003C15C7">
        <w:rPr>
          <w:rFonts w:asciiTheme="majorBidi" w:hAnsiTheme="majorBidi" w:cstheme="majorBidi"/>
          <w:color w:val="000000"/>
        </w:rPr>
        <w:t xml:space="preserve"> l</w:t>
      </w:r>
      <w:r>
        <w:rPr>
          <w:rFonts w:asciiTheme="majorBidi" w:hAnsiTheme="majorBidi" w:cstheme="majorBidi"/>
          <w:color w:val="000000"/>
        </w:rPr>
        <w:t>-</w:t>
      </w:r>
      <w:proofErr w:type="spellStart"/>
      <w:r w:rsidRPr="003C15C7">
        <w:rPr>
          <w:rFonts w:asciiTheme="majorBidi" w:hAnsiTheme="majorBidi" w:cstheme="majorBidi"/>
          <w:color w:val="000000"/>
        </w:rPr>
        <w:t>Bayân</w:t>
      </w:r>
      <w:proofErr w:type="spellEnd"/>
      <w:r w:rsidRPr="003C15C7"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F</w:t>
      </w:r>
      <w:r w:rsidRPr="003C15C7">
        <w:rPr>
          <w:rFonts w:asciiTheme="majorBidi" w:hAnsiTheme="majorBidi" w:cstheme="majorBidi"/>
          <w:color w:val="000000"/>
        </w:rPr>
        <w:t>î</w:t>
      </w:r>
      <w:proofErr w:type="spellEnd"/>
      <w:r w:rsidRPr="003C15C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C15C7">
        <w:rPr>
          <w:rFonts w:asciiTheme="majorBidi" w:hAnsiTheme="majorBidi" w:cstheme="majorBidi"/>
          <w:color w:val="000000"/>
        </w:rPr>
        <w:t>Tafsîr</w:t>
      </w:r>
      <w:proofErr w:type="spellEnd"/>
      <w:r>
        <w:rPr>
          <w:rFonts w:asciiTheme="majorBidi" w:hAnsiTheme="majorBidi" w:cstheme="majorBidi"/>
          <w:color w:val="000000"/>
        </w:rPr>
        <w:t>-i</w:t>
      </w:r>
      <w:r w:rsidRPr="003C15C7">
        <w:rPr>
          <w:rFonts w:asciiTheme="majorBidi" w:hAnsiTheme="majorBidi" w:cstheme="majorBidi"/>
          <w:color w:val="000000"/>
        </w:rPr>
        <w:t xml:space="preserve"> l</w:t>
      </w:r>
      <w:r>
        <w:rPr>
          <w:rFonts w:asciiTheme="majorBidi" w:hAnsiTheme="majorBidi" w:cstheme="majorBidi"/>
          <w:color w:val="000000"/>
        </w:rPr>
        <w:t>-</w:t>
      </w:r>
      <w:proofErr w:type="spellStart"/>
      <w:r w:rsidRPr="003C15C7">
        <w:rPr>
          <w:rFonts w:asciiTheme="majorBidi" w:hAnsiTheme="majorBidi" w:cstheme="majorBidi"/>
          <w:color w:val="000000"/>
        </w:rPr>
        <w:t>Qur</w:t>
      </w:r>
      <w:proofErr w:type="spellEnd"/>
      <w:r w:rsidRPr="003C15C7">
        <w:rPr>
          <w:rFonts w:asciiTheme="majorBidi" w:hAnsiTheme="majorBidi" w:cstheme="majorBidi"/>
          <w:color w:val="000000"/>
        </w:rPr>
        <w:t>’</w:t>
      </w:r>
      <w:proofErr w:type="spellStart"/>
      <w:r w:rsidRPr="003C15C7">
        <w:rPr>
          <w:rFonts w:asciiTheme="majorBidi" w:hAnsiTheme="majorBidi" w:cstheme="majorBidi"/>
          <w:color w:val="000000"/>
        </w:rPr>
        <w:t>ân</w:t>
      </w:r>
      <w:proofErr w:type="spellEnd"/>
      <w:r w:rsidRPr="003C15C7">
        <w:rPr>
          <w:rFonts w:asciiTheme="majorBidi" w:hAnsiTheme="majorBidi" w:cstheme="majorBidi"/>
          <w:color w:val="000000"/>
        </w:rPr>
        <w:t>.</w:t>
      </w:r>
    </w:p>
    <w:sectPr w:rsidR="00704369" w:rsidSect="006D4EFE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A7" w:rsidRDefault="003C09A7" w:rsidP="006D4EFE">
      <w:r>
        <w:separator/>
      </w:r>
    </w:p>
  </w:endnote>
  <w:endnote w:type="continuationSeparator" w:id="0">
    <w:p w:rsidR="003C09A7" w:rsidRDefault="003C09A7" w:rsidP="006D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sz w:val="26"/>
        <w:szCs w:val="26"/>
      </w:rPr>
      <w:id w:val="450900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6D4EFE" w:rsidRPr="00595CA1" w:rsidRDefault="006D4EFE" w:rsidP="006D4EFE">
        <w:pPr>
          <w:pStyle w:val="Pieddepage"/>
          <w:jc w:val="center"/>
          <w:rPr>
            <w:rFonts w:asciiTheme="majorBidi" w:hAnsiTheme="majorBidi" w:cstheme="majorBidi"/>
            <w:b/>
            <w:bCs/>
            <w:sz w:val="26"/>
            <w:szCs w:val="26"/>
          </w:rPr>
        </w:pPr>
        <w:r w:rsidRPr="00595CA1">
          <w:rPr>
            <w:rFonts w:asciiTheme="majorBidi" w:hAnsiTheme="majorBidi" w:cstheme="majorBidi"/>
            <w:b/>
            <w:bCs/>
            <w:sz w:val="26"/>
            <w:szCs w:val="26"/>
          </w:rPr>
          <w:t xml:space="preserve"> </w:t>
        </w:r>
        <w:sdt>
          <w:sdtPr>
            <w:rPr>
              <w:rFonts w:asciiTheme="majorBidi" w:hAnsiTheme="majorBidi" w:cstheme="majorBidi"/>
              <w:b/>
              <w:bCs/>
              <w:sz w:val="26"/>
              <w:szCs w:val="26"/>
            </w:rPr>
            <w:id w:val="66406374"/>
            <w:docPartObj>
              <w:docPartGallery w:val="Page Numbers (Bottom of Page)"/>
              <w:docPartUnique/>
            </w:docPartObj>
          </w:sdtPr>
          <w:sdtContent>
            <w:hyperlink r:id="rId1" w:history="1">
              <w:r w:rsidRPr="00595CA1">
                <w:rPr>
                  <w:rStyle w:val="Lienhypertexte"/>
                  <w:rFonts w:asciiTheme="majorBidi" w:hAnsiTheme="majorBidi" w:cstheme="majorBidi"/>
                  <w:b/>
                  <w:bCs/>
                  <w:sz w:val="26"/>
                  <w:szCs w:val="26"/>
                </w:rPr>
                <w:t>http://bibliotheque-islamique-coran-sunna.over-blog.com/</w:t>
              </w:r>
            </w:hyperlink>
          </w:sdtContent>
        </w:sdt>
      </w:p>
      <w:p w:rsidR="006D4EFE" w:rsidRDefault="006D4EFE" w:rsidP="006D4EFE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2049" style="position:absolute;margin-left:178.15pt;margin-top:18.9pt;width:106.75pt;height:31.2pt;z-index:251660288;mso-position-horizontal-relative:margin;mso-position-vertical-relative:bottom-margin-area;v-text-anchor:middle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>
                <w:txbxContent>
                  <w:p w:rsidR="006D4EFE" w:rsidRPr="007C4FC4" w:rsidRDefault="006D4EFE" w:rsidP="006D4EFE">
                    <w:pPr>
                      <w:pStyle w:val="Pieddepage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fldSimple w:instr=" PAGE    \* MERGEFORMAT ">
                      <w:r w:rsidR="002D5AA8" w:rsidRPr="002D5AA8">
                        <w:rPr>
                          <w:b/>
                          <w:noProof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6D4EFE" w:rsidRDefault="006D4EFE" w:rsidP="006D4EFE">
    <w:pPr>
      <w:pStyle w:val="Pieddepage"/>
    </w:pPr>
  </w:p>
  <w:p w:rsidR="006D4EFE" w:rsidRDefault="006D4E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A7" w:rsidRDefault="003C09A7" w:rsidP="006D4EFE">
      <w:r>
        <w:separator/>
      </w:r>
    </w:p>
  </w:footnote>
  <w:footnote w:type="continuationSeparator" w:id="0">
    <w:p w:rsidR="003C09A7" w:rsidRDefault="003C09A7" w:rsidP="006D4EFE">
      <w:r>
        <w:continuationSeparator/>
      </w:r>
    </w:p>
  </w:footnote>
  <w:footnote w:id="1">
    <w:p w:rsidR="006D4EFE" w:rsidRPr="006D4EFE" w:rsidRDefault="006D4EFE" w:rsidP="006D4EFE">
      <w:pPr>
        <w:pStyle w:val="Sansinterligne"/>
        <w:rPr>
          <w:sz w:val="20"/>
          <w:szCs w:val="20"/>
        </w:rPr>
      </w:pPr>
      <w:r w:rsidRPr="006D4EFE">
        <w:rPr>
          <w:rStyle w:val="Appelnotedebasdep"/>
          <w:sz w:val="20"/>
          <w:szCs w:val="20"/>
        </w:rPr>
        <w:footnoteRef/>
      </w:r>
      <w:r w:rsidRPr="006D4EFE">
        <w:rPr>
          <w:sz w:val="20"/>
          <w:szCs w:val="20"/>
        </w:rPr>
        <w:t xml:space="preserve"> ‘</w:t>
      </w:r>
      <w:proofErr w:type="spellStart"/>
      <w:r w:rsidRPr="006D4EFE">
        <w:rPr>
          <w:sz w:val="20"/>
          <w:szCs w:val="20"/>
        </w:rPr>
        <w:t>Abdullâh</w:t>
      </w:r>
      <w:proofErr w:type="spellEnd"/>
      <w:r w:rsidRPr="006D4EFE">
        <w:rPr>
          <w:sz w:val="20"/>
          <w:szCs w:val="20"/>
        </w:rPr>
        <w:t xml:space="preserve"> Ibn Al ‘Abbâs -</w:t>
      </w:r>
      <w:r w:rsidRPr="006D4EFE">
        <w:rPr>
          <w:i/>
          <w:iCs/>
          <w:sz w:val="20"/>
          <w:szCs w:val="20"/>
        </w:rPr>
        <w:t>qu'Allâh l'agrée ainsi que son père</w:t>
      </w:r>
      <w:r w:rsidRPr="006D4EFE">
        <w:rPr>
          <w:sz w:val="20"/>
          <w:szCs w:val="20"/>
        </w:rPr>
        <w:t xml:space="preserve">- a dit : </w:t>
      </w:r>
      <w:r w:rsidRPr="006D4EFE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« </w:t>
      </w:r>
      <w:r w:rsidRPr="006D4E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0"/>
          <w:szCs w:val="20"/>
        </w:rPr>
        <w:t>Du fait de la science qu'ils détiennent au sujet de ce qui est consigné dans leur Livre à propos du Prophète et qu'ils ont sciemment dissimulée et niée.</w:t>
      </w:r>
      <w:r w:rsidRPr="006D4EFE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 »</w:t>
      </w:r>
      <w:r w:rsidRPr="006D4EFE">
        <w:rPr>
          <w:sz w:val="20"/>
          <w:szCs w:val="20"/>
        </w:rPr>
        <w:t xml:space="preserve"> </w:t>
      </w:r>
    </w:p>
    <w:p w:rsidR="006D4EFE" w:rsidRPr="006D4EFE" w:rsidRDefault="006D4EFE" w:rsidP="006D4EFE">
      <w:pPr>
        <w:pStyle w:val="Sansinterligne"/>
        <w:rPr>
          <w:sz w:val="20"/>
          <w:szCs w:val="20"/>
        </w:rPr>
      </w:pPr>
      <w:r w:rsidRPr="006D4EFE">
        <w:rPr>
          <w:sz w:val="20"/>
          <w:szCs w:val="20"/>
        </w:rPr>
        <w:t>As-</w:t>
      </w:r>
      <w:proofErr w:type="spellStart"/>
      <w:r w:rsidRPr="006D4EFE">
        <w:rPr>
          <w:sz w:val="20"/>
          <w:szCs w:val="20"/>
        </w:rPr>
        <w:t>Suyû</w:t>
      </w:r>
      <w:r w:rsidRPr="006D4EFE">
        <w:rPr>
          <w:sz w:val="20"/>
          <w:szCs w:val="20"/>
          <w:u w:val="single"/>
        </w:rPr>
        <w:t>t</w:t>
      </w:r>
      <w:r w:rsidRPr="006D4EFE">
        <w:rPr>
          <w:sz w:val="20"/>
          <w:szCs w:val="20"/>
        </w:rPr>
        <w:t>î</w:t>
      </w:r>
      <w:proofErr w:type="spellEnd"/>
      <w:r w:rsidRPr="006D4EFE">
        <w:rPr>
          <w:sz w:val="20"/>
          <w:szCs w:val="20"/>
        </w:rPr>
        <w:t xml:space="preserve"> -</w:t>
      </w:r>
      <w:r w:rsidRPr="006D4EFE">
        <w:rPr>
          <w:i/>
          <w:iCs/>
          <w:sz w:val="20"/>
          <w:szCs w:val="20"/>
        </w:rPr>
        <w:t>qu'Allâh lui fasse miséricorde</w:t>
      </w:r>
      <w:r w:rsidRPr="006D4EFE">
        <w:rPr>
          <w:sz w:val="20"/>
          <w:szCs w:val="20"/>
        </w:rPr>
        <w:t xml:space="preserve">- a dit : </w:t>
      </w:r>
      <w:r w:rsidRPr="006D4EFE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« </w:t>
      </w:r>
      <w:r w:rsidRPr="006D4EFE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 w:val="20"/>
          <w:szCs w:val="20"/>
        </w:rPr>
        <w:t>Mais, en réalité, ils ne la souhaiteront pas à cause des mauvaises œuvres que leurs mains ont perpétrées, surtout en reniant la prophétie de Mu</w:t>
      </w:r>
      <w:r w:rsidRPr="006D4EFE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 w:val="20"/>
          <w:szCs w:val="20"/>
          <w:u w:val="single"/>
        </w:rPr>
        <w:t>h</w:t>
      </w:r>
      <w:r w:rsidRPr="006D4EFE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 w:val="20"/>
          <w:szCs w:val="20"/>
        </w:rPr>
        <w:t>ammad. </w:t>
      </w:r>
      <w:r w:rsidRPr="006D4EFE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»</w:t>
      </w:r>
      <w:r w:rsidRPr="006D4EFE">
        <w:rPr>
          <w:sz w:val="20"/>
          <w:szCs w:val="20"/>
        </w:rPr>
        <w:t xml:space="preserve"> [Source : </w:t>
      </w:r>
      <w:proofErr w:type="spellStart"/>
      <w:r w:rsidRPr="006D4EFE">
        <w:rPr>
          <w:sz w:val="20"/>
          <w:szCs w:val="20"/>
        </w:rPr>
        <w:t>Tafsîr</w:t>
      </w:r>
      <w:proofErr w:type="spellEnd"/>
      <w:r w:rsidRPr="006D4EFE">
        <w:rPr>
          <w:sz w:val="20"/>
          <w:szCs w:val="20"/>
        </w:rPr>
        <w:t xml:space="preserve"> al-</w:t>
      </w:r>
      <w:proofErr w:type="spellStart"/>
      <w:r w:rsidRPr="006D4EFE">
        <w:rPr>
          <w:sz w:val="20"/>
          <w:szCs w:val="20"/>
        </w:rPr>
        <w:t>Jalâlayn</w:t>
      </w:r>
      <w:proofErr w:type="spellEnd"/>
      <w:r w:rsidRPr="006D4EFE">
        <w:rPr>
          <w:sz w:val="20"/>
          <w:szCs w:val="20"/>
        </w:rPr>
        <w:t>].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4EFE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0909"/>
    <w:rsid w:val="002852C3"/>
    <w:rsid w:val="002D5AA8"/>
    <w:rsid w:val="00300C8F"/>
    <w:rsid w:val="00376300"/>
    <w:rsid w:val="003C09A7"/>
    <w:rsid w:val="003C1DFB"/>
    <w:rsid w:val="003C21F7"/>
    <w:rsid w:val="003D3DCC"/>
    <w:rsid w:val="00401A2D"/>
    <w:rsid w:val="00462372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6D4EFE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A0FFE"/>
    <w:rsid w:val="008C115B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B0B50"/>
    <w:rsid w:val="00BD7CC8"/>
    <w:rsid w:val="00C53C52"/>
    <w:rsid w:val="00C56B86"/>
    <w:rsid w:val="00CD4EBD"/>
    <w:rsid w:val="00D15EBD"/>
    <w:rsid w:val="00DD202E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F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D4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D4EFE"/>
    <w:rPr>
      <w:b/>
      <w:bCs/>
      <w:sz w:val="36"/>
      <w:szCs w:val="3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4EFE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E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EF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4EF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4EFE"/>
  </w:style>
  <w:style w:type="character" w:styleId="Appelnotedebasdep">
    <w:name w:val="footnote reference"/>
    <w:basedOn w:val="Policepardfaut"/>
    <w:uiPriority w:val="99"/>
    <w:semiHidden/>
    <w:unhideWhenUsed/>
    <w:rsid w:val="006D4EF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D4E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D4EF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D4E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EFE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D4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2AAE-476C-4E25-87E6-131B2E2F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2011-06-21T16:04:00Z</cp:lastPrinted>
  <dcterms:created xsi:type="dcterms:W3CDTF">2011-06-21T15:37:00Z</dcterms:created>
  <dcterms:modified xsi:type="dcterms:W3CDTF">2011-06-21T16:04:00Z</dcterms:modified>
</cp:coreProperties>
</file>