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67E" w:rsidRDefault="0020567E" w:rsidP="0020567E">
      <w:pPr>
        <w:pStyle w:val="NormalWeb"/>
        <w:jc w:val="center"/>
        <w:rPr>
          <w:rFonts w:ascii="Verdana" w:hAnsi="Verdana"/>
          <w:b/>
          <w:bCs/>
          <w:color w:val="FF0000"/>
          <w:sz w:val="20"/>
          <w:szCs w:val="20"/>
        </w:rPr>
      </w:pPr>
    </w:p>
    <w:p w:rsidR="0020567E" w:rsidRPr="00CE66F6" w:rsidRDefault="0020567E" w:rsidP="0020567E">
      <w:pPr>
        <w:rPr>
          <w:rFonts w:asciiTheme="majorBidi" w:hAnsiTheme="majorBidi" w:cstheme="majorBidi"/>
        </w:rPr>
      </w:pPr>
    </w:p>
    <w:p w:rsidR="0020567E" w:rsidRDefault="0020567E" w:rsidP="0020567E">
      <w:pPr>
        <w:jc w:val="right"/>
        <w:rPr>
          <w:color w:val="7F7F7F"/>
          <w:sz w:val="32"/>
          <w:szCs w:val="32"/>
        </w:rPr>
      </w:pPr>
      <w:r w:rsidRPr="002047A7">
        <w:rPr>
          <w:noProof/>
          <w:color w:val="C4BC96"/>
          <w:sz w:val="32"/>
          <w:szCs w:val="32"/>
          <w:lang w:eastAsia="en-US"/>
        </w:rPr>
        <w:pict>
          <v:group id="_x0000_s2050" style="position:absolute;left:0;text-align:left;margin-left:0;margin-top:0;width:610.2pt;height:790.2pt;z-index:-251658240;mso-width-percent:1000;mso-height-percent:1000;mso-position-horizontal:center;mso-position-horizontal-relative:page;mso-position-vertical:center;mso-position-vertical-relative:page;mso-width-percent:1000;mso-height-percent:1000" coordsize="12240,15840" o:allowincell="f">
            <v:rect id="_x0000_s2051" style="position:absolute;width:12240;height:15840;mso-width-percent:1000;mso-height-percent:1000;mso-position-horizontal:center;mso-position-horizontal-relative:page;mso-position-vertical:top;mso-position-vertical-relative:page;mso-width-percent:1000;mso-height-percent:1000" strokecolor="#666" strokeweight="1pt">
              <v:fill color2="#999" focusposition="1" focussize="" focus="100%" type="gradient"/>
              <v:shadow type="perspective" color="#7f7f7f" opacity=".5" offset="1pt" offset2="-3pt"/>
            </v:rect>
            <v:rect id="_x0000_s2052" style="position:absolute;left:612;top:638;width:11016;height:14564;mso-width-percent:900;mso-height-percent:920;mso-position-horizontal:center;mso-position-horizontal-relative:page;mso-position-vertical:center;mso-position-vertical-relative:page;mso-width-percent:900;mso-height-percent:920" strokecolor="#666" strokeweight="1pt">
              <v:fill color2="#999" focusposition="1" focussize="" focus="100%" type="gradient"/>
              <v:shadow type="perspective" color="#7f7f7f" opacity=".5" offset="1pt" offset2="-3pt"/>
            </v:rect>
            <w10:wrap anchorx="page" anchory="page"/>
          </v:group>
        </w:pict>
      </w:r>
    </w:p>
    <w:tbl>
      <w:tblPr>
        <w:tblpPr w:leftFromText="187" w:rightFromText="187" w:horzAnchor="margin" w:tblpXSpec="center" w:tblpYSpec="bottom"/>
        <w:tblOverlap w:val="never"/>
        <w:tblW w:w="0" w:type="auto"/>
        <w:tblLook w:val="04A0"/>
      </w:tblPr>
      <w:tblGrid>
        <w:gridCol w:w="9288"/>
      </w:tblGrid>
      <w:tr w:rsidR="0020567E" w:rsidTr="00DA7CAB">
        <w:tc>
          <w:tcPr>
            <w:tcW w:w="9576" w:type="dxa"/>
          </w:tcPr>
          <w:p w:rsidR="0020567E" w:rsidRDefault="0020567E" w:rsidP="00DA7CAB">
            <w:pPr>
              <w:jc w:val="center"/>
              <w:rPr>
                <w:rFonts w:asciiTheme="majorBidi" w:hAnsiTheme="majorBidi" w:cstheme="majorBidi"/>
                <w:b/>
                <w:bCs/>
                <w:i/>
                <w:iCs/>
                <w:color w:val="FFFFFF" w:themeColor="background1"/>
                <w:sz w:val="32"/>
                <w:szCs w:val="32"/>
              </w:rPr>
            </w:pPr>
          </w:p>
          <w:p w:rsidR="0020567E" w:rsidRDefault="0020567E" w:rsidP="00DA7CAB">
            <w:pPr>
              <w:jc w:val="center"/>
              <w:rPr>
                <w:rFonts w:asciiTheme="majorBidi" w:hAnsiTheme="majorBidi" w:cstheme="majorBidi"/>
                <w:b/>
                <w:bCs/>
                <w:i/>
                <w:iCs/>
                <w:color w:val="FFFFFF" w:themeColor="background1"/>
                <w:sz w:val="32"/>
                <w:szCs w:val="32"/>
              </w:rPr>
            </w:pPr>
          </w:p>
          <w:p w:rsidR="0020567E" w:rsidRPr="003A44B4" w:rsidRDefault="0020567E" w:rsidP="0020567E">
            <w:pPr>
              <w:pStyle w:val="Sansinterligne"/>
              <w:jc w:val="center"/>
              <w:rPr>
                <w:b/>
                <w:bCs/>
                <w:i/>
                <w:iCs/>
                <w:color w:val="FFFFFF" w:themeColor="background1"/>
                <w:sz w:val="36"/>
                <w:szCs w:val="36"/>
              </w:rPr>
            </w:pPr>
            <w:r w:rsidRPr="003A44B4">
              <w:rPr>
                <w:b/>
                <w:bCs/>
                <w:i/>
                <w:iCs/>
                <w:color w:val="FFFFFF" w:themeColor="background1"/>
                <w:sz w:val="36"/>
                <w:szCs w:val="36"/>
              </w:rPr>
              <w:t xml:space="preserve">Par </w:t>
            </w:r>
            <w:r>
              <w:rPr>
                <w:b/>
                <w:bCs/>
                <w:i/>
                <w:iCs/>
                <w:color w:val="FFFFFF" w:themeColor="background1"/>
                <w:sz w:val="36"/>
                <w:szCs w:val="36"/>
              </w:rPr>
              <w:t>l’Imâm Ibn Al-Qayyîm</w:t>
            </w:r>
          </w:p>
        </w:tc>
      </w:tr>
    </w:tbl>
    <w:p w:rsidR="0020567E" w:rsidRDefault="0020567E" w:rsidP="0020567E">
      <w:pPr>
        <w:jc w:val="right"/>
        <w:rPr>
          <w:color w:val="7F7F7F"/>
          <w:sz w:val="32"/>
          <w:szCs w:val="32"/>
        </w:rPr>
      </w:pPr>
    </w:p>
    <w:p w:rsidR="0020567E" w:rsidRPr="009A570F" w:rsidRDefault="0020567E" w:rsidP="0020567E">
      <w:r w:rsidRPr="002047A7">
        <w:rPr>
          <w:noProof/>
          <w:color w:val="C4BC96"/>
          <w:sz w:val="32"/>
          <w:szCs w:val="32"/>
          <w:lang w:eastAsia="en-US"/>
        </w:rPr>
        <w:pict>
          <v:rect id="_x0000_s2053" style="position:absolute;margin-left:0;margin-top:0;width:535.65pt;height:76.6pt;z-index:251658240;mso-width-percent:900;mso-position-horizontal:center;mso-position-horizontal-relative:page;mso-position-vertical:center;mso-position-vertical-relative:page;mso-width-percent:900" o:allowincell="f" fillcolor="#a5a5a5" stroked="f">
            <v:fill opacity="58982f"/>
            <v:textbox style="mso-next-textbox:#_x0000_s2053" inset="18pt,0,18pt,0">
              <w:txbxContent>
                <w:tbl>
                  <w:tblPr>
                    <w:tblW w:w="5000" w:type="pct"/>
                    <w:tblCellMar>
                      <w:left w:w="360" w:type="dxa"/>
                      <w:right w:w="360" w:type="dxa"/>
                    </w:tblCellMar>
                    <w:tblLook w:val="04A0"/>
                  </w:tblPr>
                  <w:tblGrid>
                    <w:gridCol w:w="2760"/>
                    <w:gridCol w:w="7968"/>
                  </w:tblGrid>
                  <w:tr w:rsidR="0020567E" w:rsidRPr="00344919" w:rsidTr="00855F53">
                    <w:trPr>
                      <w:trHeight w:val="1080"/>
                    </w:trPr>
                    <w:tc>
                      <w:tcPr>
                        <w:tcW w:w="1000" w:type="pct"/>
                        <w:shd w:val="clear" w:color="auto" w:fill="000000"/>
                        <w:vAlign w:val="center"/>
                      </w:tcPr>
                      <w:p w:rsidR="0020567E" w:rsidRPr="00344919" w:rsidRDefault="0020567E" w:rsidP="00CB7712">
                        <w:pPr>
                          <w:jc w:val="center"/>
                          <w:rPr>
                            <w:smallCaps/>
                            <w:sz w:val="48"/>
                            <w:szCs w:val="48"/>
                          </w:rPr>
                        </w:pPr>
                        <w:r w:rsidRPr="00344919">
                          <w:rPr>
                            <w:smallCaps/>
                            <w:noProof/>
                            <w:sz w:val="48"/>
                            <w:szCs w:val="48"/>
                          </w:rPr>
                          <w:drawing>
                            <wp:inline distT="0" distB="0" distL="0" distR="0">
                              <wp:extent cx="1275080" cy="958215"/>
                              <wp:effectExtent l="19050" t="0" r="1270" b="0"/>
                              <wp:docPr id="7" name="Image 9" descr="chah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hada"/>
                                      <pic:cNvPicPr>
                                        <a:picLocks noChangeAspect="1" noChangeArrowheads="1"/>
                                      </pic:cNvPicPr>
                                    </pic:nvPicPr>
                                    <pic:blipFill>
                                      <a:blip r:embed="rId6"/>
                                      <a:srcRect/>
                                      <a:stretch>
                                        <a:fillRect/>
                                      </a:stretch>
                                    </pic:blipFill>
                                    <pic:spPr bwMode="auto">
                                      <a:xfrm>
                                        <a:off x="0" y="0"/>
                                        <a:ext cx="1275080" cy="958215"/>
                                      </a:xfrm>
                                      <a:prstGeom prst="rect">
                                        <a:avLst/>
                                      </a:prstGeom>
                                      <a:noFill/>
                                      <a:ln w="9525">
                                        <a:noFill/>
                                        <a:miter lim="800000"/>
                                        <a:headEnd/>
                                        <a:tailEnd/>
                                      </a:ln>
                                    </pic:spPr>
                                  </pic:pic>
                                </a:graphicData>
                              </a:graphic>
                            </wp:inline>
                          </w:drawing>
                        </w:r>
                      </w:p>
                    </w:tc>
                    <w:tc>
                      <w:tcPr>
                        <w:tcW w:w="4000" w:type="pct"/>
                        <w:shd w:val="clear" w:color="auto" w:fill="auto"/>
                        <w:vAlign w:val="center"/>
                      </w:tcPr>
                      <w:p w:rsidR="0020567E" w:rsidRPr="0020567E" w:rsidRDefault="0020567E" w:rsidP="00417AA4">
                        <w:pPr>
                          <w:widowControl w:val="0"/>
                          <w:adjustRightInd w:val="0"/>
                          <w:spacing w:after="100"/>
                          <w:rPr>
                            <w:b/>
                            <w:bCs/>
                            <w:color w:val="FFFFFF" w:themeColor="background1"/>
                            <w:sz w:val="56"/>
                            <w:szCs w:val="56"/>
                          </w:rPr>
                        </w:pPr>
                        <w:r w:rsidRPr="0020567E">
                          <w:rPr>
                            <w:rFonts w:cs="Traditional Arabic"/>
                            <w:b/>
                            <w:bCs/>
                            <w:color w:val="FFFFFF" w:themeColor="background1"/>
                            <w:sz w:val="56"/>
                            <w:szCs w:val="56"/>
                          </w:rPr>
                          <w:t>Les 5 formes principales de mécréance [Kûfr]</w:t>
                        </w:r>
                      </w:p>
                    </w:tc>
                  </w:tr>
                </w:tbl>
                <w:p w:rsidR="0020567E" w:rsidRPr="00344919" w:rsidRDefault="0020567E" w:rsidP="0020567E">
                  <w:pPr>
                    <w:pStyle w:val="Sansinterligne"/>
                    <w:spacing w:line="14" w:lineRule="exact"/>
                    <w:rPr>
                      <w:sz w:val="48"/>
                      <w:szCs w:val="48"/>
                    </w:rPr>
                  </w:pPr>
                </w:p>
              </w:txbxContent>
            </v:textbox>
            <w10:wrap anchorx="page" anchory="page"/>
          </v:rect>
        </w:pict>
      </w:r>
      <w:r>
        <w:br w:type="page"/>
      </w:r>
    </w:p>
    <w:p w:rsidR="0020567E" w:rsidRDefault="0020567E" w:rsidP="0020567E">
      <w:pPr>
        <w:jc w:val="center"/>
      </w:pPr>
      <w:r>
        <w:rPr>
          <w:noProof/>
        </w:rPr>
        <w:lastRenderedPageBreak/>
        <w:drawing>
          <wp:inline distT="0" distB="0" distL="0" distR="0">
            <wp:extent cx="2533650" cy="2667000"/>
            <wp:effectExtent l="19050" t="0" r="0" b="0"/>
            <wp:docPr id="8" name="Image 1" descr="bismil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ah.jpg"/>
                    <pic:cNvPicPr/>
                  </pic:nvPicPr>
                  <pic:blipFill>
                    <a:blip r:embed="rId7" cstate="print"/>
                    <a:stretch>
                      <a:fillRect/>
                    </a:stretch>
                  </pic:blipFill>
                  <pic:spPr>
                    <a:xfrm>
                      <a:off x="0" y="0"/>
                      <a:ext cx="2533650" cy="2667000"/>
                    </a:xfrm>
                    <a:prstGeom prst="rect">
                      <a:avLst/>
                    </a:prstGeom>
                  </pic:spPr>
                </pic:pic>
              </a:graphicData>
            </a:graphic>
          </wp:inline>
        </w:drawing>
      </w:r>
    </w:p>
    <w:p w:rsidR="0020567E" w:rsidRDefault="0020567E" w:rsidP="0020567E"/>
    <w:p w:rsidR="0020567E" w:rsidRPr="0020567E" w:rsidRDefault="0020567E" w:rsidP="00AC51C3">
      <w:pPr>
        <w:pStyle w:val="Sansinterligne"/>
        <w:jc w:val="both"/>
        <w:rPr>
          <w:rFonts w:asciiTheme="majorBidi" w:hAnsiTheme="majorBidi" w:cstheme="majorBidi"/>
          <w:color w:val="000000"/>
          <w:szCs w:val="24"/>
        </w:rPr>
      </w:pPr>
    </w:p>
    <w:p w:rsidR="00AC51C3" w:rsidRPr="0020567E" w:rsidRDefault="00AC51C3" w:rsidP="0020567E">
      <w:pPr>
        <w:pStyle w:val="traditionalarabic2"/>
        <w:ind w:firstLine="0"/>
        <w:rPr>
          <w:rFonts w:asciiTheme="majorBidi" w:hAnsiTheme="majorBidi" w:cstheme="majorBidi"/>
          <w:color w:val="000000"/>
          <w:lang w:val="fr-BE"/>
        </w:rPr>
      </w:pPr>
      <w:r w:rsidRPr="0020567E">
        <w:rPr>
          <w:rFonts w:asciiTheme="majorBidi" w:hAnsiTheme="majorBidi" w:cstheme="majorBidi"/>
          <w:color w:val="000000"/>
          <w:rtl/>
          <w:lang w:val="fr-BE"/>
        </w:rPr>
        <w:t xml:space="preserve">وأما الكفر الأكبر فخمسة أنواع : كفر تكذيب وكفر استكبار وإباء مع التصديق وكفر إعراض وكفر شك وكفر نفاق فأما كفر التكذيب : فهو اعتقاد كذب الرسل وهذا القسم قليل في الكفار فإن الله تعالى أيد رسله وأعطاهم من البراهين والآيات على صدقهم ما أقام </w:t>
      </w:r>
      <w:proofErr w:type="spellStart"/>
      <w:r w:rsidRPr="0020567E">
        <w:rPr>
          <w:rFonts w:asciiTheme="majorBidi" w:hAnsiTheme="majorBidi" w:cstheme="majorBidi"/>
          <w:color w:val="000000"/>
          <w:rtl/>
          <w:lang w:val="fr-BE"/>
        </w:rPr>
        <w:t>به</w:t>
      </w:r>
      <w:proofErr w:type="spellEnd"/>
      <w:r w:rsidRPr="0020567E">
        <w:rPr>
          <w:rFonts w:asciiTheme="majorBidi" w:hAnsiTheme="majorBidi" w:cstheme="majorBidi"/>
          <w:color w:val="000000"/>
          <w:rtl/>
          <w:lang w:val="fr-BE"/>
        </w:rPr>
        <w:t xml:space="preserve"> الحجة وأزال </w:t>
      </w:r>
      <w:proofErr w:type="spellStart"/>
      <w:r w:rsidRPr="0020567E">
        <w:rPr>
          <w:rFonts w:asciiTheme="majorBidi" w:hAnsiTheme="majorBidi" w:cstheme="majorBidi"/>
          <w:color w:val="000000"/>
          <w:rtl/>
          <w:lang w:val="fr-BE"/>
        </w:rPr>
        <w:t>به</w:t>
      </w:r>
      <w:proofErr w:type="spellEnd"/>
      <w:r w:rsidRPr="0020567E">
        <w:rPr>
          <w:rFonts w:asciiTheme="majorBidi" w:hAnsiTheme="majorBidi" w:cstheme="majorBidi"/>
          <w:color w:val="000000"/>
          <w:rtl/>
          <w:lang w:val="fr-BE"/>
        </w:rPr>
        <w:t xml:space="preserve"> المعذرة قال الله تعالى عن فرعون وقومه وجحدوا </w:t>
      </w:r>
      <w:proofErr w:type="spellStart"/>
      <w:r w:rsidRPr="0020567E">
        <w:rPr>
          <w:rFonts w:asciiTheme="majorBidi" w:hAnsiTheme="majorBidi" w:cstheme="majorBidi"/>
          <w:color w:val="000000"/>
          <w:rtl/>
          <w:lang w:val="fr-BE"/>
        </w:rPr>
        <w:t>بها</w:t>
      </w:r>
      <w:proofErr w:type="spellEnd"/>
      <w:r w:rsidRPr="0020567E">
        <w:rPr>
          <w:rFonts w:asciiTheme="majorBidi" w:hAnsiTheme="majorBidi" w:cstheme="majorBidi"/>
          <w:color w:val="000000"/>
          <w:rtl/>
          <w:lang w:val="fr-BE"/>
        </w:rPr>
        <w:t xml:space="preserve"> </w:t>
      </w:r>
      <w:proofErr w:type="spellStart"/>
      <w:r w:rsidRPr="0020567E">
        <w:rPr>
          <w:rFonts w:asciiTheme="majorBidi" w:hAnsiTheme="majorBidi" w:cstheme="majorBidi"/>
          <w:color w:val="000000"/>
          <w:rtl/>
          <w:lang w:val="fr-BE"/>
        </w:rPr>
        <w:t>واستيقنتها</w:t>
      </w:r>
      <w:proofErr w:type="spellEnd"/>
      <w:r w:rsidRPr="0020567E">
        <w:rPr>
          <w:rFonts w:asciiTheme="majorBidi" w:hAnsiTheme="majorBidi" w:cstheme="majorBidi"/>
          <w:color w:val="000000"/>
          <w:rtl/>
          <w:lang w:val="fr-BE"/>
        </w:rPr>
        <w:t xml:space="preserve"> أنفسهم ظلما وعلوا </w:t>
      </w:r>
      <w:r w:rsidRPr="0020567E">
        <w:rPr>
          <w:rFonts w:asciiTheme="majorBidi" w:hAnsiTheme="majorBidi" w:cstheme="majorBidi"/>
          <w:color w:val="000000"/>
          <w:lang w:val="fr-BE"/>
        </w:rPr>
        <w:t xml:space="preserve"> </w:t>
      </w:r>
      <w:r w:rsidRPr="0020567E">
        <w:rPr>
          <w:rFonts w:asciiTheme="majorBidi" w:hAnsiTheme="majorBidi" w:cstheme="majorBidi"/>
          <w:color w:val="000000"/>
          <w:rtl/>
          <w:lang w:val="fr-BE"/>
        </w:rPr>
        <w:t xml:space="preserve">وقال لرسوله : فإنهم لا يكذبونك ولكن الظالمين بآيات الله يجحدون وإن سمي هذا كفر تكذيب أيضا فصحيح إذ هو تكذيب باللسان وأما كفر الإباء والاستكبار : فنحو كفر إبليس فإنه لم يجحد أمر الله ولا قابله بالإنكار وإنما تلقاه بالإباء والاستكبار ومن هذا كفر من عرف صدق الرسول وأنه جاء بالحق من عند الله ولم ينقد له إباء واستكبارا وهو الغالب على كفر أعداء الرسل كما حكى الله تعالى عن فرعون وقومه : أنؤمن لبشرين مثلنا وقومهما لنا عابدون وقول الأمم لرسلهم : إن أنتم إلا بشر مثلنا وقوله كذبت ثمود </w:t>
      </w:r>
      <w:proofErr w:type="spellStart"/>
      <w:r w:rsidRPr="0020567E">
        <w:rPr>
          <w:rFonts w:asciiTheme="majorBidi" w:hAnsiTheme="majorBidi" w:cstheme="majorBidi"/>
          <w:color w:val="000000"/>
          <w:rtl/>
          <w:lang w:val="fr-BE"/>
        </w:rPr>
        <w:t>بطغواها</w:t>
      </w:r>
      <w:proofErr w:type="spellEnd"/>
      <w:r w:rsidRPr="0020567E">
        <w:rPr>
          <w:rFonts w:asciiTheme="majorBidi" w:hAnsiTheme="majorBidi" w:cstheme="majorBidi"/>
          <w:color w:val="000000"/>
          <w:rtl/>
          <w:lang w:val="fr-BE"/>
        </w:rPr>
        <w:t xml:space="preserve"> وهو كفر اليهود كما قال تعالى : فلما جاءهم ما عرفوا كفروا وقال يعرفونه كما يعرفون أبناءهم وهو كفر أبي طالب أيضا فإنه صدقه ولم يشك في صدقه ولكن أخذته الحمية وتعظيم آبائه أن يرغب عن ملتهم ويشهد عليهم بالكفر وأما كفر الإعراض : فأن يعرض بسمعه وقلبه عن الرسول لا يصدقه ولا يكذبه ولا يواليه ولا يعاديه ولا يصغي إلى ما جاء </w:t>
      </w:r>
      <w:proofErr w:type="spellStart"/>
      <w:r w:rsidRPr="0020567E">
        <w:rPr>
          <w:rFonts w:asciiTheme="majorBidi" w:hAnsiTheme="majorBidi" w:cstheme="majorBidi"/>
          <w:color w:val="000000"/>
          <w:rtl/>
          <w:lang w:val="fr-BE"/>
        </w:rPr>
        <w:t>به</w:t>
      </w:r>
      <w:proofErr w:type="spellEnd"/>
      <w:r w:rsidRPr="0020567E">
        <w:rPr>
          <w:rFonts w:asciiTheme="majorBidi" w:hAnsiTheme="majorBidi" w:cstheme="majorBidi"/>
          <w:color w:val="000000"/>
          <w:rtl/>
          <w:lang w:val="fr-BE"/>
        </w:rPr>
        <w:t xml:space="preserve"> </w:t>
      </w:r>
      <w:proofErr w:type="spellStart"/>
      <w:r w:rsidRPr="0020567E">
        <w:rPr>
          <w:rFonts w:asciiTheme="majorBidi" w:hAnsiTheme="majorBidi" w:cstheme="majorBidi"/>
          <w:color w:val="000000"/>
          <w:rtl/>
          <w:lang w:val="fr-BE"/>
        </w:rPr>
        <w:t>ألبتة</w:t>
      </w:r>
      <w:proofErr w:type="spellEnd"/>
      <w:r w:rsidRPr="0020567E">
        <w:rPr>
          <w:rFonts w:asciiTheme="majorBidi" w:hAnsiTheme="majorBidi" w:cstheme="majorBidi"/>
          <w:color w:val="000000"/>
          <w:rtl/>
          <w:lang w:val="fr-BE"/>
        </w:rPr>
        <w:t xml:space="preserve"> كما قال أحد بني عبد </w:t>
      </w:r>
      <w:proofErr w:type="spellStart"/>
      <w:r w:rsidRPr="0020567E">
        <w:rPr>
          <w:rFonts w:asciiTheme="majorBidi" w:hAnsiTheme="majorBidi" w:cstheme="majorBidi"/>
          <w:color w:val="000000"/>
          <w:rtl/>
          <w:lang w:val="fr-BE"/>
        </w:rPr>
        <w:t>ياليل</w:t>
      </w:r>
      <w:proofErr w:type="spellEnd"/>
      <w:r w:rsidRPr="0020567E">
        <w:rPr>
          <w:rFonts w:asciiTheme="majorBidi" w:hAnsiTheme="majorBidi" w:cstheme="majorBidi"/>
          <w:color w:val="000000"/>
          <w:rtl/>
          <w:lang w:val="fr-BE"/>
        </w:rPr>
        <w:t xml:space="preserve"> للنبي : والله أقول لك كلمة إن كنت صادقا فأنت أجل في عيني من أن أرد عليك وإن كنت كاذبا فأنت أحقر من أن أكلمك وأما كفر الشك : فإنه لا يجزم بصدقه ولا بكذبه بل يشك في أمره وهذا لا يستمر شكه إلا إذا ألزم نفسه الإعراض عن النظر في آيات صدق </w:t>
      </w:r>
      <w:proofErr w:type="spellStart"/>
      <w:r w:rsidRPr="0020567E">
        <w:rPr>
          <w:rFonts w:asciiTheme="majorBidi" w:hAnsiTheme="majorBidi" w:cstheme="majorBidi"/>
          <w:color w:val="000000"/>
          <w:rtl/>
          <w:lang w:val="fr-BE"/>
        </w:rPr>
        <w:t>الرسولجملة</w:t>
      </w:r>
      <w:proofErr w:type="spellEnd"/>
      <w:r w:rsidRPr="0020567E">
        <w:rPr>
          <w:rFonts w:asciiTheme="majorBidi" w:hAnsiTheme="majorBidi" w:cstheme="majorBidi"/>
          <w:color w:val="000000"/>
          <w:rtl/>
          <w:lang w:val="fr-BE"/>
        </w:rPr>
        <w:t xml:space="preserve"> فلا يسمعها ولا يلتفت إليها وأما مع </w:t>
      </w:r>
      <w:proofErr w:type="spellStart"/>
      <w:r w:rsidRPr="0020567E">
        <w:rPr>
          <w:rFonts w:asciiTheme="majorBidi" w:hAnsiTheme="majorBidi" w:cstheme="majorBidi"/>
          <w:color w:val="000000"/>
          <w:rtl/>
          <w:lang w:val="fr-BE"/>
        </w:rPr>
        <w:t>إلتفاته</w:t>
      </w:r>
      <w:proofErr w:type="spellEnd"/>
      <w:r w:rsidRPr="0020567E">
        <w:rPr>
          <w:rFonts w:asciiTheme="majorBidi" w:hAnsiTheme="majorBidi" w:cstheme="majorBidi"/>
          <w:color w:val="000000"/>
          <w:rtl/>
          <w:lang w:val="fr-BE"/>
        </w:rPr>
        <w:t xml:space="preserve"> إليها ونطره فيها : فإنه لا يبقى معه شك لأنها </w:t>
      </w:r>
      <w:proofErr w:type="spellStart"/>
      <w:r w:rsidRPr="0020567E">
        <w:rPr>
          <w:rFonts w:asciiTheme="majorBidi" w:hAnsiTheme="majorBidi" w:cstheme="majorBidi"/>
          <w:color w:val="000000"/>
          <w:rtl/>
          <w:lang w:val="fr-BE"/>
        </w:rPr>
        <w:t>مستلزمة</w:t>
      </w:r>
      <w:proofErr w:type="spellEnd"/>
      <w:r w:rsidRPr="0020567E">
        <w:rPr>
          <w:rFonts w:asciiTheme="majorBidi" w:hAnsiTheme="majorBidi" w:cstheme="majorBidi"/>
          <w:color w:val="000000"/>
          <w:rtl/>
          <w:lang w:val="fr-BE"/>
        </w:rPr>
        <w:t xml:space="preserve"> للصدق ولا </w:t>
      </w:r>
      <w:proofErr w:type="spellStart"/>
      <w:r w:rsidRPr="0020567E">
        <w:rPr>
          <w:rFonts w:asciiTheme="majorBidi" w:hAnsiTheme="majorBidi" w:cstheme="majorBidi"/>
          <w:color w:val="000000"/>
          <w:rtl/>
          <w:lang w:val="fr-BE"/>
        </w:rPr>
        <w:t>سيما</w:t>
      </w:r>
      <w:proofErr w:type="spellEnd"/>
      <w:r w:rsidRPr="0020567E">
        <w:rPr>
          <w:rFonts w:asciiTheme="majorBidi" w:hAnsiTheme="majorBidi" w:cstheme="majorBidi"/>
          <w:color w:val="000000"/>
          <w:rtl/>
          <w:lang w:val="fr-BE"/>
        </w:rPr>
        <w:t xml:space="preserve"> بمجموعها فإن دلالتها على الصدق كدلالة الشمس على النهار وأما كفر النفاق : فهو أن يظهر بلسانه الإيمان وينطوي بقلبه على التكذيب فهذا هو النفاق الأكبر</w:t>
      </w:r>
    </w:p>
    <w:p w:rsidR="0020567E" w:rsidRDefault="0020567E" w:rsidP="00AC51C3">
      <w:pPr>
        <w:pStyle w:val="Sansinterligne"/>
        <w:ind w:firstLine="360"/>
        <w:jc w:val="both"/>
        <w:rPr>
          <w:rFonts w:cs="Traditional Arabic"/>
          <w:color w:val="000000"/>
          <w:szCs w:val="24"/>
        </w:rPr>
      </w:pPr>
    </w:p>
    <w:p w:rsidR="00AC51C3" w:rsidRPr="00A415BD" w:rsidRDefault="00AC51C3" w:rsidP="00AC51C3">
      <w:pPr>
        <w:pStyle w:val="Sansinterligne"/>
        <w:ind w:firstLine="360"/>
        <w:jc w:val="both"/>
        <w:rPr>
          <w:rFonts w:cs="Traditional Arabic"/>
          <w:color w:val="00B050"/>
          <w:szCs w:val="24"/>
        </w:rPr>
      </w:pPr>
      <w:r w:rsidRPr="00EB6A6E">
        <w:rPr>
          <w:rFonts w:cs="Traditional Arabic"/>
          <w:color w:val="000000"/>
          <w:szCs w:val="24"/>
        </w:rPr>
        <w:t>« </w:t>
      </w:r>
      <w:r w:rsidRPr="00A415BD">
        <w:rPr>
          <w:rFonts w:cs="Traditional Arabic"/>
          <w:color w:val="00B050"/>
          <w:szCs w:val="24"/>
        </w:rPr>
        <w:t xml:space="preserve">Quant à la mécréance majeure, elle a cinq formes : </w:t>
      </w:r>
      <w:r w:rsidRPr="00A415BD">
        <w:rPr>
          <w:rFonts w:cs="Traditional Arabic"/>
          <w:color w:val="00B050"/>
          <w:szCs w:val="24"/>
          <w:u w:val="single"/>
        </w:rPr>
        <w:t>la mécréance par démenti</w:t>
      </w:r>
      <w:r w:rsidRPr="00A415BD">
        <w:rPr>
          <w:rFonts w:cs="Traditional Arabic"/>
          <w:color w:val="00B050"/>
          <w:szCs w:val="24"/>
        </w:rPr>
        <w:t xml:space="preserve"> ; </w:t>
      </w:r>
      <w:r w:rsidRPr="00A415BD">
        <w:rPr>
          <w:rFonts w:cs="Traditional Arabic"/>
          <w:color w:val="00B050"/>
          <w:szCs w:val="24"/>
          <w:u w:val="single"/>
        </w:rPr>
        <w:t>la mécréance par orgueil et refus tout en admettant la vérité</w:t>
      </w:r>
      <w:r w:rsidRPr="00A415BD">
        <w:rPr>
          <w:rFonts w:cs="Traditional Arabic"/>
          <w:color w:val="00B050"/>
          <w:szCs w:val="24"/>
        </w:rPr>
        <w:t xml:space="preserve"> ; </w:t>
      </w:r>
      <w:r w:rsidRPr="00A415BD">
        <w:rPr>
          <w:rFonts w:cs="Traditional Arabic"/>
          <w:color w:val="00B050"/>
          <w:szCs w:val="24"/>
          <w:u w:val="single"/>
        </w:rPr>
        <w:t>la mécréance par dédain</w:t>
      </w:r>
      <w:r w:rsidRPr="00A415BD">
        <w:rPr>
          <w:rFonts w:cs="Traditional Arabic"/>
          <w:color w:val="00B050"/>
          <w:szCs w:val="24"/>
        </w:rPr>
        <w:t xml:space="preserve">, </w:t>
      </w:r>
      <w:r w:rsidRPr="00A415BD">
        <w:rPr>
          <w:rFonts w:cs="Traditional Arabic"/>
          <w:color w:val="00B050"/>
          <w:szCs w:val="24"/>
          <w:u w:val="single"/>
        </w:rPr>
        <w:t>la mécréance par doute</w:t>
      </w:r>
      <w:r w:rsidRPr="00A415BD">
        <w:rPr>
          <w:rFonts w:cs="Traditional Arabic"/>
          <w:color w:val="00B050"/>
          <w:szCs w:val="24"/>
        </w:rPr>
        <w:t xml:space="preserve"> et </w:t>
      </w:r>
      <w:r w:rsidRPr="00A415BD">
        <w:rPr>
          <w:rFonts w:cs="Traditional Arabic"/>
          <w:color w:val="00B050"/>
          <w:szCs w:val="24"/>
          <w:u w:val="single"/>
        </w:rPr>
        <w:t>la mécréance par hypocrisie</w:t>
      </w:r>
      <w:r w:rsidRPr="00A415BD">
        <w:rPr>
          <w:rFonts w:cs="Traditional Arabic"/>
          <w:color w:val="00B050"/>
          <w:szCs w:val="24"/>
        </w:rPr>
        <w:t>.</w:t>
      </w:r>
    </w:p>
    <w:p w:rsidR="0020567E" w:rsidRPr="00A415BD" w:rsidRDefault="0020567E" w:rsidP="00AC51C3">
      <w:pPr>
        <w:pStyle w:val="Sansinterligne"/>
        <w:jc w:val="both"/>
        <w:rPr>
          <w:rFonts w:cs="Traditional Arabic"/>
          <w:color w:val="00B050"/>
          <w:szCs w:val="24"/>
        </w:rPr>
      </w:pPr>
    </w:p>
    <w:p w:rsidR="00AC51C3" w:rsidRPr="00A415BD" w:rsidRDefault="00AC51C3" w:rsidP="00A415BD">
      <w:pPr>
        <w:pStyle w:val="Sansinterligne"/>
        <w:jc w:val="both"/>
        <w:rPr>
          <w:rFonts w:cs="Traditional Arabic"/>
          <w:color w:val="00B050"/>
          <w:szCs w:val="24"/>
        </w:rPr>
      </w:pPr>
      <w:r w:rsidRPr="00A415BD">
        <w:rPr>
          <w:rFonts w:cs="Traditional Arabic"/>
          <w:color w:val="00B050"/>
          <w:szCs w:val="24"/>
        </w:rPr>
        <w:tab/>
      </w:r>
      <w:r w:rsidRPr="00A415BD">
        <w:rPr>
          <w:rFonts w:cs="Traditional Arabic"/>
          <w:b/>
          <w:bCs/>
          <w:color w:val="00B050"/>
          <w:szCs w:val="24"/>
          <w:u w:val="single"/>
        </w:rPr>
        <w:t>La mécréance par démenti</w:t>
      </w:r>
      <w:r w:rsidR="00A415BD">
        <w:rPr>
          <w:rFonts w:cs="Traditional Arabic"/>
          <w:b/>
          <w:bCs/>
          <w:color w:val="00B050"/>
          <w:szCs w:val="24"/>
          <w:u w:val="single"/>
        </w:rPr>
        <w:t xml:space="preserve"> [Kûfr </w:t>
      </w:r>
      <w:proofErr w:type="spellStart"/>
      <w:r w:rsidR="00A415BD">
        <w:rPr>
          <w:rFonts w:cs="Traditional Arabic"/>
          <w:b/>
          <w:bCs/>
          <w:color w:val="00B050"/>
          <w:szCs w:val="24"/>
          <w:u w:val="single"/>
        </w:rPr>
        <w:t>Inkâr</w:t>
      </w:r>
      <w:proofErr w:type="spellEnd"/>
      <w:r w:rsidR="00A415BD">
        <w:rPr>
          <w:rFonts w:cs="Traditional Arabic"/>
          <w:b/>
          <w:bCs/>
          <w:color w:val="00B050"/>
          <w:szCs w:val="24"/>
          <w:u w:val="single"/>
        </w:rPr>
        <w:t>]</w:t>
      </w:r>
      <w:r w:rsidR="00A415BD" w:rsidRPr="00A415BD">
        <w:rPr>
          <w:rFonts w:cs="Traditional Arabic"/>
          <w:color w:val="00B050"/>
          <w:szCs w:val="24"/>
        </w:rPr>
        <w:t xml:space="preserve"> ; </w:t>
      </w:r>
      <w:r w:rsidRPr="00A415BD">
        <w:rPr>
          <w:rFonts w:cs="Traditional Arabic"/>
          <w:color w:val="00B050"/>
          <w:szCs w:val="24"/>
        </w:rPr>
        <w:t>c’est de croire que les messagers mentent, et cette catégorie est rare chez les mécréants car Allah a soutenu Ses messagers et leur a donné des signes et des preuves de leur sincérité qui suffit à établir la preuve et à faire cesser tout prétexte. Allah a dit au sujet de pharaon et des siens « </w:t>
      </w:r>
      <w:r w:rsidRPr="00A415BD">
        <w:rPr>
          <w:rFonts w:cs="Traditional Arabic"/>
          <w:b/>
          <w:bCs/>
          <w:color w:val="FF0000"/>
          <w:szCs w:val="24"/>
        </w:rPr>
        <w:t>Et ils rejetèrent ces signes alors qu’en eux-mêmes ils étaient convaincu de leur vérité ; par injustice et orgueil.</w:t>
      </w:r>
      <w:r w:rsidRPr="00A415BD">
        <w:rPr>
          <w:rFonts w:cs="Traditional Arabic"/>
          <w:color w:val="00B050"/>
          <w:szCs w:val="24"/>
        </w:rPr>
        <w:t> » Et Allah dit à Son messager « </w:t>
      </w:r>
      <w:r w:rsidRPr="00A415BD">
        <w:rPr>
          <w:rFonts w:cs="Traditional Arabic"/>
          <w:b/>
          <w:bCs/>
          <w:color w:val="FF0000"/>
          <w:szCs w:val="24"/>
        </w:rPr>
        <w:t>Certes ils ne te démentent pas ; mais les injustes rejettent les versets d’Allah</w:t>
      </w:r>
      <w:r w:rsidRPr="00A415BD">
        <w:rPr>
          <w:rFonts w:cs="Traditional Arabic"/>
          <w:color w:val="00B050"/>
          <w:szCs w:val="24"/>
        </w:rPr>
        <w:t> » Et même si cette mécréance fut nommée « démenti» c’est correct car c’est un démenti de la langue.</w:t>
      </w:r>
    </w:p>
    <w:p w:rsidR="00AC51C3" w:rsidRPr="00A415BD" w:rsidRDefault="00AC51C3" w:rsidP="00AC51C3">
      <w:pPr>
        <w:pStyle w:val="Sansinterligne"/>
        <w:ind w:firstLine="360"/>
        <w:jc w:val="both"/>
        <w:rPr>
          <w:rFonts w:cs="Traditional Arabic"/>
          <w:color w:val="00B050"/>
          <w:szCs w:val="24"/>
        </w:rPr>
      </w:pPr>
      <w:r w:rsidRPr="00A415BD">
        <w:rPr>
          <w:rFonts w:cs="Traditional Arabic"/>
          <w:b/>
          <w:bCs/>
          <w:color w:val="00B050"/>
          <w:szCs w:val="24"/>
          <w:u w:val="single"/>
        </w:rPr>
        <w:lastRenderedPageBreak/>
        <w:t>Pour ce qui est de la mécréance par refus et orgueil</w:t>
      </w:r>
      <w:r w:rsidR="00A415BD">
        <w:rPr>
          <w:rFonts w:cs="Traditional Arabic"/>
          <w:b/>
          <w:bCs/>
          <w:color w:val="00B050"/>
          <w:szCs w:val="24"/>
          <w:u w:val="single"/>
        </w:rPr>
        <w:t xml:space="preserve"> [Kûfr </w:t>
      </w:r>
      <w:proofErr w:type="spellStart"/>
      <w:r w:rsidR="00A415BD">
        <w:rPr>
          <w:rFonts w:cs="Traditional Arabic"/>
          <w:b/>
          <w:bCs/>
          <w:color w:val="00B050"/>
          <w:szCs w:val="24"/>
          <w:u w:val="single"/>
        </w:rPr>
        <w:t>Kibr</w:t>
      </w:r>
      <w:proofErr w:type="spellEnd"/>
      <w:r w:rsidR="00A415BD">
        <w:rPr>
          <w:rFonts w:cs="Traditional Arabic"/>
          <w:b/>
          <w:bCs/>
          <w:color w:val="00B050"/>
          <w:szCs w:val="24"/>
          <w:u w:val="single"/>
        </w:rPr>
        <w:t xml:space="preserve"> </w:t>
      </w:r>
      <w:proofErr w:type="spellStart"/>
      <w:r w:rsidR="00A415BD">
        <w:rPr>
          <w:rFonts w:cs="Traditional Arabic"/>
          <w:b/>
          <w:bCs/>
          <w:color w:val="00B050"/>
          <w:szCs w:val="24"/>
          <w:u w:val="single"/>
        </w:rPr>
        <w:t>wa</w:t>
      </w:r>
      <w:proofErr w:type="spellEnd"/>
      <w:r w:rsidR="00A415BD">
        <w:rPr>
          <w:rFonts w:cs="Traditional Arabic"/>
          <w:b/>
          <w:bCs/>
          <w:color w:val="00B050"/>
          <w:szCs w:val="24"/>
          <w:u w:val="single"/>
        </w:rPr>
        <w:t xml:space="preserve"> </w:t>
      </w:r>
      <w:proofErr w:type="spellStart"/>
      <w:r w:rsidR="00A415BD">
        <w:rPr>
          <w:rFonts w:cs="Traditional Arabic"/>
          <w:b/>
          <w:bCs/>
          <w:color w:val="00B050"/>
          <w:szCs w:val="24"/>
          <w:u w:val="single"/>
        </w:rPr>
        <w:t>Juhoûd</w:t>
      </w:r>
      <w:proofErr w:type="spellEnd"/>
      <w:r w:rsidR="00A415BD">
        <w:rPr>
          <w:rFonts w:cs="Traditional Arabic"/>
          <w:b/>
          <w:bCs/>
          <w:color w:val="00B050"/>
          <w:szCs w:val="24"/>
          <w:u w:val="single"/>
        </w:rPr>
        <w:t>]</w:t>
      </w:r>
      <w:r w:rsidRPr="00A415BD">
        <w:rPr>
          <w:rFonts w:cs="Traditional Arabic"/>
          <w:color w:val="00B050"/>
          <w:szCs w:val="24"/>
        </w:rPr>
        <w:t> ; c’est comme la mécréance d’</w:t>
      </w:r>
      <w:proofErr w:type="spellStart"/>
      <w:r w:rsidRPr="00A415BD">
        <w:rPr>
          <w:rFonts w:cs="Traditional Arabic"/>
          <w:color w:val="00B050"/>
          <w:szCs w:val="24"/>
        </w:rPr>
        <w:t>Iblîs</w:t>
      </w:r>
      <w:proofErr w:type="spellEnd"/>
      <w:r w:rsidRPr="00A415BD">
        <w:rPr>
          <w:rFonts w:cs="Traditional Arabic"/>
          <w:color w:val="00B050"/>
          <w:szCs w:val="24"/>
        </w:rPr>
        <w:t xml:space="preserve"> qui lui n’a pas renié le commandement d’Allah et ne l’a pas réfuté ; mais il l’a reçu avec refus et orgueil, et c’est cette mécréance qui est majoritairement celle des ennemis des prophètes comme Allah nous le narra dans l’histoire de Pharaon et de son peuple « </w:t>
      </w:r>
      <w:r w:rsidRPr="00A415BD">
        <w:rPr>
          <w:rFonts w:cs="Traditional Arabic"/>
          <w:b/>
          <w:bCs/>
          <w:color w:val="FF0000"/>
          <w:szCs w:val="24"/>
        </w:rPr>
        <w:t>Allons nous donner Foi à deux hommes semblables à nous alors que leur peuple sont nos esclaves ?</w:t>
      </w:r>
      <w:r w:rsidRPr="00A415BD">
        <w:rPr>
          <w:rFonts w:cs="Traditional Arabic"/>
          <w:color w:val="00B050"/>
          <w:szCs w:val="24"/>
        </w:rPr>
        <w:t> » Ainsi que ce répliquèrent les peuples à leurs messagers « </w:t>
      </w:r>
      <w:r w:rsidRPr="00A415BD">
        <w:rPr>
          <w:rFonts w:cs="Traditional Arabic"/>
          <w:b/>
          <w:bCs/>
          <w:color w:val="FF0000"/>
          <w:szCs w:val="24"/>
        </w:rPr>
        <w:t>Vous n’êtes que des hommes semblables à nous</w:t>
      </w:r>
      <w:r w:rsidRPr="00A415BD">
        <w:rPr>
          <w:rFonts w:cs="Traditional Arabic"/>
          <w:color w:val="00B050"/>
          <w:szCs w:val="24"/>
        </w:rPr>
        <w:t> » et le verset « </w:t>
      </w:r>
      <w:r w:rsidRPr="00A415BD">
        <w:rPr>
          <w:rFonts w:cs="Traditional Arabic"/>
          <w:b/>
          <w:bCs/>
          <w:color w:val="FF0000"/>
          <w:szCs w:val="24"/>
        </w:rPr>
        <w:t xml:space="preserve">Les </w:t>
      </w:r>
      <w:proofErr w:type="spellStart"/>
      <w:r w:rsidRPr="00A415BD">
        <w:rPr>
          <w:rFonts w:cs="Traditional Arabic"/>
          <w:b/>
          <w:bCs/>
          <w:color w:val="FF0000"/>
          <w:szCs w:val="24"/>
        </w:rPr>
        <w:t>Thamoûd</w:t>
      </w:r>
      <w:proofErr w:type="spellEnd"/>
      <w:r w:rsidRPr="00A415BD">
        <w:rPr>
          <w:rFonts w:cs="Traditional Arabic"/>
          <w:b/>
          <w:bCs/>
          <w:color w:val="FF0000"/>
          <w:szCs w:val="24"/>
        </w:rPr>
        <w:t>, dans leur arrogance, démentirent</w:t>
      </w:r>
      <w:r w:rsidRPr="00A415BD">
        <w:rPr>
          <w:rFonts w:cs="Traditional Arabic"/>
          <w:color w:val="00B050"/>
          <w:szCs w:val="24"/>
        </w:rPr>
        <w:t> » et c’est également la mécréance des juifs comme le dit Allah « </w:t>
      </w:r>
      <w:r w:rsidRPr="00A415BD">
        <w:rPr>
          <w:rFonts w:cs="Traditional Arabic"/>
          <w:b/>
          <w:bCs/>
          <w:color w:val="FF0000"/>
          <w:szCs w:val="24"/>
        </w:rPr>
        <w:t>Lorsque leur venait ce qu’ils connaissaient ils y mécrurent</w:t>
      </w:r>
      <w:r w:rsidRPr="00A415BD">
        <w:rPr>
          <w:rFonts w:cs="Traditional Arabic"/>
          <w:b/>
          <w:bCs/>
          <w:color w:val="00B050"/>
          <w:szCs w:val="24"/>
        </w:rPr>
        <w:t> </w:t>
      </w:r>
      <w:r w:rsidRPr="00A415BD">
        <w:rPr>
          <w:rFonts w:cs="Traditional Arabic"/>
          <w:color w:val="00B050"/>
          <w:szCs w:val="24"/>
        </w:rPr>
        <w:t>» et Il dit « </w:t>
      </w:r>
      <w:r w:rsidRPr="00A415BD">
        <w:rPr>
          <w:rFonts w:cs="Traditional Arabic"/>
          <w:b/>
          <w:bCs/>
          <w:color w:val="FF0000"/>
          <w:szCs w:val="24"/>
        </w:rPr>
        <w:t>Ils le connaissent comme ils connaissent leurs propres enfants</w:t>
      </w:r>
      <w:r w:rsidRPr="00A415BD">
        <w:rPr>
          <w:rFonts w:cs="Traditional Arabic"/>
          <w:color w:val="00B050"/>
          <w:szCs w:val="24"/>
        </w:rPr>
        <w:t xml:space="preserve"> » Et c’est aussi la mécréance d’Abou </w:t>
      </w:r>
      <w:proofErr w:type="spellStart"/>
      <w:r w:rsidRPr="00A415BD">
        <w:rPr>
          <w:rFonts w:cs="Traditional Arabic"/>
          <w:color w:val="00B050"/>
          <w:szCs w:val="24"/>
        </w:rPr>
        <w:t>Tâlib</w:t>
      </w:r>
      <w:proofErr w:type="spellEnd"/>
      <w:r w:rsidRPr="00A415BD">
        <w:rPr>
          <w:rFonts w:cs="Traditional Arabic"/>
          <w:color w:val="00B050"/>
          <w:szCs w:val="24"/>
        </w:rPr>
        <w:t xml:space="preserve"> vu qu’il a admit la vérité et n’a pas douté de sa sincérité mais son amour et son respect envers les ancêtres l’empêcha de renoncer à leur religion et de témoigner de leur mécréance.</w:t>
      </w:r>
    </w:p>
    <w:p w:rsidR="00A415BD" w:rsidRPr="00A415BD" w:rsidRDefault="00A415BD" w:rsidP="00AC51C3">
      <w:pPr>
        <w:pStyle w:val="Sansinterligne"/>
        <w:ind w:firstLine="360"/>
        <w:jc w:val="both"/>
        <w:rPr>
          <w:rFonts w:cs="Traditional Arabic"/>
          <w:color w:val="00B050"/>
          <w:szCs w:val="24"/>
        </w:rPr>
      </w:pPr>
    </w:p>
    <w:p w:rsidR="00AC51C3" w:rsidRPr="00A415BD" w:rsidRDefault="00AC51C3" w:rsidP="00AC51C3">
      <w:pPr>
        <w:pStyle w:val="Sansinterligne"/>
        <w:ind w:firstLine="360"/>
        <w:jc w:val="both"/>
        <w:rPr>
          <w:rFonts w:cs="Traditional Arabic"/>
          <w:color w:val="00B050"/>
          <w:szCs w:val="24"/>
        </w:rPr>
      </w:pPr>
      <w:r w:rsidRPr="00A415BD">
        <w:rPr>
          <w:rFonts w:cs="Traditional Arabic"/>
          <w:b/>
          <w:bCs/>
          <w:color w:val="00B050"/>
          <w:szCs w:val="24"/>
          <w:u w:val="single"/>
        </w:rPr>
        <w:t>Quant à la mécréance par dédain</w:t>
      </w:r>
      <w:r w:rsidR="00A415BD" w:rsidRPr="00A415BD">
        <w:rPr>
          <w:rFonts w:cs="Traditional Arabic"/>
          <w:color w:val="00B050"/>
          <w:szCs w:val="24"/>
        </w:rPr>
        <w:t> ;</w:t>
      </w:r>
      <w:r w:rsidRPr="00A415BD">
        <w:rPr>
          <w:rFonts w:cs="Traditional Arabic"/>
          <w:color w:val="00B050"/>
          <w:szCs w:val="24"/>
        </w:rPr>
        <w:t xml:space="preserve"> c’est le faite de se désintéresser du prophète par les oreilles et le cœur ; sans le croire ni le démentir ; sans lui témoigner d’amour ni d’opposition ; et sans se préoccuper en aucune sorte de son enseignement ; comme cela arriva avec un homme des </w:t>
      </w:r>
      <w:proofErr w:type="spellStart"/>
      <w:r w:rsidRPr="00A415BD">
        <w:rPr>
          <w:rFonts w:cs="Traditional Arabic"/>
          <w:color w:val="00B050"/>
          <w:szCs w:val="24"/>
        </w:rPr>
        <w:t>Bani</w:t>
      </w:r>
      <w:proofErr w:type="spellEnd"/>
      <w:r w:rsidRPr="00A415BD">
        <w:rPr>
          <w:rFonts w:cs="Traditional Arabic"/>
          <w:color w:val="00B050"/>
          <w:szCs w:val="24"/>
        </w:rPr>
        <w:t xml:space="preserve"> Abd </w:t>
      </w:r>
      <w:proofErr w:type="spellStart"/>
      <w:r w:rsidRPr="00A415BD">
        <w:rPr>
          <w:rFonts w:cs="Traditional Arabic"/>
          <w:color w:val="00B050"/>
          <w:szCs w:val="24"/>
        </w:rPr>
        <w:t>Yalil</w:t>
      </w:r>
      <w:proofErr w:type="spellEnd"/>
      <w:r w:rsidRPr="00A415BD">
        <w:rPr>
          <w:rFonts w:cs="Traditional Arabic"/>
          <w:color w:val="00B050"/>
          <w:szCs w:val="24"/>
        </w:rPr>
        <w:t xml:space="preserve"> qui dit au prophète « </w:t>
      </w:r>
      <w:r w:rsidRPr="00A415BD">
        <w:rPr>
          <w:rFonts w:cs="Traditional Arabic"/>
          <w:b/>
          <w:bCs/>
          <w:i/>
          <w:iCs/>
          <w:color w:val="00B050"/>
          <w:szCs w:val="24"/>
        </w:rPr>
        <w:t>Par Allah je vais te dire ; si tu dis vrai alors tu es trop admirable pour que je te contredise ; et si tu es un menteur tu es trop affreux pour que je te parle.</w:t>
      </w:r>
      <w:r w:rsidRPr="00A415BD">
        <w:rPr>
          <w:rFonts w:cs="Traditional Arabic"/>
          <w:color w:val="00B050"/>
          <w:szCs w:val="24"/>
        </w:rPr>
        <w:t> »</w:t>
      </w:r>
    </w:p>
    <w:p w:rsidR="00A415BD" w:rsidRPr="00A415BD" w:rsidRDefault="00A415BD" w:rsidP="00AC51C3">
      <w:pPr>
        <w:pStyle w:val="Sansinterligne"/>
        <w:ind w:firstLine="360"/>
        <w:jc w:val="both"/>
        <w:rPr>
          <w:rFonts w:cs="Traditional Arabic"/>
          <w:color w:val="00B050"/>
          <w:szCs w:val="24"/>
        </w:rPr>
      </w:pPr>
    </w:p>
    <w:p w:rsidR="00AC51C3" w:rsidRPr="00A415BD" w:rsidRDefault="00AC51C3" w:rsidP="00AC51C3">
      <w:pPr>
        <w:pStyle w:val="Sansinterligne"/>
        <w:ind w:firstLine="360"/>
        <w:jc w:val="both"/>
        <w:rPr>
          <w:rFonts w:cs="Traditional Arabic"/>
          <w:color w:val="00B050"/>
          <w:szCs w:val="24"/>
        </w:rPr>
      </w:pPr>
      <w:r w:rsidRPr="00A415BD">
        <w:rPr>
          <w:rFonts w:cs="Traditional Arabic"/>
          <w:b/>
          <w:bCs/>
          <w:color w:val="00B050"/>
          <w:szCs w:val="24"/>
          <w:u w:val="single"/>
        </w:rPr>
        <w:t>Quant à la mécréance de doute</w:t>
      </w:r>
      <w:r w:rsidRPr="00A415BD">
        <w:rPr>
          <w:rFonts w:cs="Traditional Arabic"/>
          <w:color w:val="00B050"/>
          <w:szCs w:val="24"/>
        </w:rPr>
        <w:t> ; c’est que tu ne sois ni convaincu de sa sincérité ni de son mensonge ; mais tu doutes de lui. Et ce doute ne peut en vérité perdurer sauf si c’est le dédain qui pousse à ne pas prêter attention aux signes prouvant sa sincérité ; tout particulièrement lorsqu’on les réunit car l’aspect convaincant de ces signes sont aussi claire que le soleil en plein jour.</w:t>
      </w:r>
    </w:p>
    <w:p w:rsidR="00A415BD" w:rsidRPr="00A415BD" w:rsidRDefault="00A415BD" w:rsidP="00AC51C3">
      <w:pPr>
        <w:pStyle w:val="Sansinterligne"/>
        <w:ind w:firstLine="360"/>
        <w:jc w:val="both"/>
        <w:rPr>
          <w:rFonts w:cs="Traditional Arabic"/>
          <w:color w:val="00B050"/>
          <w:szCs w:val="24"/>
        </w:rPr>
      </w:pPr>
    </w:p>
    <w:p w:rsidR="00A415BD" w:rsidRDefault="00AC51C3" w:rsidP="00AC51C3">
      <w:pPr>
        <w:pStyle w:val="Sansinterligne"/>
        <w:ind w:firstLine="360"/>
        <w:jc w:val="both"/>
        <w:rPr>
          <w:rFonts w:cs="Traditional Arabic"/>
          <w:color w:val="000000"/>
          <w:szCs w:val="24"/>
        </w:rPr>
      </w:pPr>
      <w:r w:rsidRPr="00A415BD">
        <w:rPr>
          <w:rFonts w:cs="Traditional Arabic"/>
          <w:b/>
          <w:bCs/>
          <w:color w:val="00B050"/>
          <w:szCs w:val="24"/>
          <w:u w:val="single"/>
        </w:rPr>
        <w:t>Quant à la mécréance d’hypocrisie</w:t>
      </w:r>
      <w:r w:rsidR="00A415BD" w:rsidRPr="00A415BD">
        <w:rPr>
          <w:rFonts w:cs="Traditional Arabic"/>
          <w:b/>
          <w:bCs/>
          <w:color w:val="00B050"/>
          <w:szCs w:val="24"/>
        </w:rPr>
        <w:t> </w:t>
      </w:r>
      <w:r w:rsidR="00A415BD">
        <w:rPr>
          <w:rFonts w:cs="Traditional Arabic"/>
          <w:b/>
          <w:bCs/>
          <w:color w:val="00B050"/>
          <w:szCs w:val="24"/>
        </w:rPr>
        <w:t xml:space="preserve">[Kûfr </w:t>
      </w:r>
      <w:proofErr w:type="spellStart"/>
      <w:r w:rsidR="00A415BD">
        <w:rPr>
          <w:rFonts w:cs="Traditional Arabic"/>
          <w:b/>
          <w:bCs/>
          <w:color w:val="00B050"/>
          <w:szCs w:val="24"/>
        </w:rPr>
        <w:t>Nifâq</w:t>
      </w:r>
      <w:proofErr w:type="spellEnd"/>
      <w:r w:rsidR="00A415BD">
        <w:rPr>
          <w:rFonts w:cs="Traditional Arabic"/>
          <w:b/>
          <w:bCs/>
          <w:color w:val="00B050"/>
          <w:szCs w:val="24"/>
        </w:rPr>
        <w:t>]</w:t>
      </w:r>
      <w:r w:rsidR="00A415BD" w:rsidRPr="00A415BD">
        <w:rPr>
          <w:rFonts w:cs="Traditional Arabic"/>
          <w:color w:val="00B050"/>
          <w:szCs w:val="24"/>
        </w:rPr>
        <w:t>;</w:t>
      </w:r>
      <w:r w:rsidRPr="00A415BD">
        <w:rPr>
          <w:rFonts w:cs="Traditional Arabic"/>
          <w:color w:val="00B050"/>
          <w:szCs w:val="24"/>
        </w:rPr>
        <w:t xml:space="preserve"> c’est le fait de faire semblant de le croire de la langue et de refouler le démenti dans le cœur ; ceci est l’hypocrisie majeure.</w:t>
      </w:r>
      <w:r w:rsidRPr="00EB6A6E">
        <w:rPr>
          <w:rFonts w:cs="Traditional Arabic"/>
          <w:color w:val="000000"/>
          <w:szCs w:val="24"/>
        </w:rPr>
        <w:t xml:space="preserve"> » </w:t>
      </w:r>
    </w:p>
    <w:p w:rsidR="00A415BD" w:rsidRDefault="00A415BD" w:rsidP="00A415BD">
      <w:pPr>
        <w:pStyle w:val="Sansinterligne"/>
        <w:jc w:val="both"/>
        <w:rPr>
          <w:rFonts w:cs="Traditional Arabic"/>
          <w:color w:val="000000"/>
          <w:szCs w:val="24"/>
        </w:rPr>
      </w:pPr>
    </w:p>
    <w:p w:rsidR="00A415BD" w:rsidRDefault="00A415BD" w:rsidP="00A415BD">
      <w:pPr>
        <w:pStyle w:val="Sansinterligne"/>
        <w:jc w:val="both"/>
        <w:rPr>
          <w:rFonts w:cs="Traditional Arabic"/>
          <w:color w:val="000000"/>
          <w:szCs w:val="24"/>
        </w:rPr>
      </w:pPr>
    </w:p>
    <w:p w:rsidR="00AC51C3" w:rsidRPr="00EB6A6E" w:rsidRDefault="00A415BD" w:rsidP="00A415BD">
      <w:pPr>
        <w:pStyle w:val="Sansinterligne"/>
        <w:jc w:val="both"/>
        <w:rPr>
          <w:rFonts w:cs="Traditional Arabic"/>
          <w:color w:val="000000"/>
          <w:szCs w:val="24"/>
        </w:rPr>
      </w:pPr>
      <w:r w:rsidRPr="00A415BD">
        <w:rPr>
          <w:rFonts w:cs="Traditional Arabic"/>
          <w:b/>
          <w:bCs/>
          <w:color w:val="000000"/>
          <w:szCs w:val="24"/>
          <w:u w:val="single"/>
        </w:rPr>
        <w:t>Source</w:t>
      </w:r>
      <w:r>
        <w:rPr>
          <w:rFonts w:cs="Traditional Arabic"/>
          <w:color w:val="000000"/>
          <w:szCs w:val="24"/>
        </w:rPr>
        <w:t xml:space="preserve"> : </w:t>
      </w:r>
      <w:proofErr w:type="spellStart"/>
      <w:r>
        <w:rPr>
          <w:rFonts w:cs="Traditional Arabic"/>
          <w:color w:val="000000"/>
          <w:szCs w:val="24"/>
        </w:rPr>
        <w:t>Madârij</w:t>
      </w:r>
      <w:proofErr w:type="spellEnd"/>
      <w:r>
        <w:rPr>
          <w:rFonts w:cs="Traditional Arabic"/>
          <w:color w:val="000000"/>
          <w:szCs w:val="24"/>
        </w:rPr>
        <w:t xml:space="preserve"> </w:t>
      </w:r>
      <w:proofErr w:type="spellStart"/>
      <w:r>
        <w:rPr>
          <w:rFonts w:cs="Traditional Arabic"/>
          <w:color w:val="000000"/>
          <w:szCs w:val="24"/>
        </w:rPr>
        <w:t>Ous</w:t>
      </w:r>
      <w:proofErr w:type="spellEnd"/>
      <w:r>
        <w:rPr>
          <w:rFonts w:cs="Traditional Arabic"/>
          <w:color w:val="000000"/>
          <w:szCs w:val="24"/>
        </w:rPr>
        <w:t>-</w:t>
      </w:r>
      <w:proofErr w:type="spellStart"/>
      <w:r>
        <w:rPr>
          <w:rFonts w:cs="Traditional Arabic"/>
          <w:color w:val="000000"/>
          <w:szCs w:val="24"/>
        </w:rPr>
        <w:t>Sâlikîn</w:t>
      </w:r>
      <w:proofErr w:type="spellEnd"/>
      <w:r>
        <w:rPr>
          <w:rFonts w:cs="Traditional Arabic"/>
          <w:color w:val="000000"/>
          <w:szCs w:val="24"/>
        </w:rPr>
        <w:t>, tome 1, page 337,338.</w:t>
      </w:r>
    </w:p>
    <w:p w:rsidR="00704369" w:rsidRDefault="00704369"/>
    <w:sectPr w:rsidR="00704369" w:rsidSect="00A415BD">
      <w:footerReference w:type="default" r:id="rId8"/>
      <w:pgSz w:w="11906" w:h="16838" w:code="9"/>
      <w:pgMar w:top="1417" w:right="1417" w:bottom="1417" w:left="1417"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B67" w:rsidRDefault="00443B67" w:rsidP="005853C2">
      <w:r>
        <w:separator/>
      </w:r>
    </w:p>
  </w:endnote>
  <w:endnote w:type="continuationSeparator" w:id="0">
    <w:p w:rsidR="00443B67" w:rsidRDefault="00443B67" w:rsidP="00585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00"/>
    <w:family w:val="auto"/>
    <w:pitch w:val="variable"/>
    <w:sig w:usb0="00002003" w:usb1="80000000" w:usb2="00000008" w:usb3="00000000" w:csb0="0000004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8482727"/>
      <w:docPartObj>
        <w:docPartGallery w:val="Page Numbers (Bottom of Page)"/>
        <w:docPartUnique/>
      </w:docPartObj>
    </w:sdtPr>
    <w:sdtEndPr>
      <w:rPr>
        <w:b/>
        <w:bCs/>
      </w:rPr>
    </w:sdtEndPr>
    <w:sdtContent>
      <w:p w:rsidR="005853C2" w:rsidRPr="00813800" w:rsidRDefault="005853C2" w:rsidP="005853C2">
        <w:pPr>
          <w:pStyle w:val="Pieddepage"/>
          <w:jc w:val="right"/>
          <w:rPr>
            <w:rFonts w:asciiTheme="majorBidi" w:hAnsiTheme="majorBidi" w:cstheme="majorBidi"/>
          </w:rPr>
        </w:pPr>
        <w:r w:rsidRPr="00813800">
          <w:rPr>
            <w:rFonts w:asciiTheme="majorBidi" w:hAnsiTheme="majorBidi" w:cstheme="majorBidi"/>
            <w:b/>
            <w:bCs/>
          </w:rPr>
          <w:fldChar w:fldCharType="begin"/>
        </w:r>
        <w:r w:rsidRPr="00813800">
          <w:rPr>
            <w:rFonts w:asciiTheme="majorBidi" w:hAnsiTheme="majorBidi" w:cstheme="majorBidi"/>
            <w:b/>
            <w:bCs/>
          </w:rPr>
          <w:instrText xml:space="preserve"> PAGE   \* MERGEFORMAT </w:instrText>
        </w:r>
        <w:r w:rsidRPr="00813800">
          <w:rPr>
            <w:rFonts w:asciiTheme="majorBidi" w:hAnsiTheme="majorBidi" w:cstheme="majorBidi"/>
            <w:b/>
            <w:bCs/>
          </w:rPr>
          <w:fldChar w:fldCharType="separate"/>
        </w:r>
        <w:r w:rsidR="00B767CD">
          <w:rPr>
            <w:rFonts w:asciiTheme="majorBidi" w:hAnsiTheme="majorBidi" w:cstheme="majorBidi"/>
            <w:b/>
            <w:bCs/>
            <w:noProof/>
          </w:rPr>
          <w:t>2</w:t>
        </w:r>
        <w:r w:rsidRPr="00813800">
          <w:rPr>
            <w:rFonts w:asciiTheme="majorBidi" w:hAnsiTheme="majorBidi" w:cstheme="majorBidi"/>
            <w:b/>
            <w:bCs/>
          </w:rPr>
          <w:fldChar w:fldCharType="end"/>
        </w:r>
      </w:p>
    </w:sdtContent>
  </w:sdt>
  <w:sdt>
    <w:sdtPr>
      <w:rPr>
        <w:rFonts w:asciiTheme="majorBidi" w:hAnsiTheme="majorBidi" w:cstheme="majorBidi"/>
        <w:b/>
        <w:bCs/>
        <w:sz w:val="28"/>
        <w:szCs w:val="28"/>
      </w:rPr>
      <w:id w:val="66406374"/>
      <w:docPartObj>
        <w:docPartGallery w:val="Page Numbers (Bottom of Page)"/>
        <w:docPartUnique/>
      </w:docPartObj>
    </w:sdtPr>
    <w:sdtContent>
      <w:p w:rsidR="005853C2" w:rsidRPr="00813800" w:rsidRDefault="005853C2" w:rsidP="005853C2">
        <w:pPr>
          <w:pStyle w:val="Pieddepage"/>
          <w:jc w:val="center"/>
          <w:rPr>
            <w:rFonts w:asciiTheme="majorBidi" w:hAnsiTheme="majorBidi" w:cstheme="majorBidi"/>
            <w:b/>
            <w:bCs/>
            <w:sz w:val="28"/>
            <w:szCs w:val="28"/>
          </w:rPr>
        </w:pPr>
        <w:hyperlink r:id="rId1" w:history="1">
          <w:r w:rsidRPr="00813800">
            <w:rPr>
              <w:rStyle w:val="Lienhypertexte"/>
              <w:rFonts w:asciiTheme="majorBidi" w:eastAsiaTheme="majorEastAsia" w:hAnsiTheme="majorBidi" w:cstheme="majorBidi"/>
              <w:b/>
              <w:bCs/>
              <w:sz w:val="28"/>
              <w:szCs w:val="28"/>
            </w:rPr>
            <w:t>http://bibliotheque-islamique-coran-sunna.over-blog.com/</w:t>
          </w:r>
          <w:r w:rsidRPr="00813800">
            <w:rPr>
              <w:rStyle w:val="Lienhypertexte"/>
              <w:rFonts w:asciiTheme="majorBidi" w:eastAsiaTheme="majorEastAsia" w:hAnsiTheme="majorBidi" w:cstheme="majorBidi"/>
              <w:b/>
              <w:bCs/>
              <w:color w:val="auto"/>
              <w:sz w:val="28"/>
              <w:szCs w:val="28"/>
              <w:lang w:eastAsia="zh-TW"/>
            </w:rPr>
            <w:pict>
              <v:shapetype id="_x0000_t32" coordsize="21600,21600" o:spt="32" o:oned="t" path="m,l21600,21600e" filled="f">
                <v:path arrowok="t" fillok="f" o:connecttype="none"/>
                <o:lock v:ext="edit" shapetype="t"/>
              </v:shapetype>
              <v:shape id="_x0000_s1025" type="#_x0000_t32" style="position:absolute;left:0;text-align:left;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hyperlink>
      </w:p>
    </w:sdtContent>
  </w:sdt>
  <w:p w:rsidR="005853C2" w:rsidRDefault="005853C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B67" w:rsidRDefault="00443B67" w:rsidP="005853C2">
      <w:r>
        <w:separator/>
      </w:r>
    </w:p>
  </w:footnote>
  <w:footnote w:type="continuationSeparator" w:id="0">
    <w:p w:rsidR="00443B67" w:rsidRDefault="00443B67" w:rsidP="005853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074"/>
    <o:shapelayout v:ext="edit">
      <o:idmap v:ext="edit" data="1"/>
      <o:rules v:ext="edit">
        <o:r id="V:Rule1" type="connector" idref="#_x0000_s1025"/>
      </o:rules>
    </o:shapelayout>
  </w:hdrShapeDefaults>
  <w:footnotePr>
    <w:footnote w:id="-1"/>
    <w:footnote w:id="0"/>
  </w:footnotePr>
  <w:endnotePr>
    <w:endnote w:id="-1"/>
    <w:endnote w:id="0"/>
  </w:endnotePr>
  <w:compat/>
  <w:rsids>
    <w:rsidRoot w:val="00AC51C3"/>
    <w:rsid w:val="00027B22"/>
    <w:rsid w:val="00044B3B"/>
    <w:rsid w:val="000C0174"/>
    <w:rsid w:val="001044C0"/>
    <w:rsid w:val="00107DEC"/>
    <w:rsid w:val="00152159"/>
    <w:rsid w:val="00155319"/>
    <w:rsid w:val="001C28F7"/>
    <w:rsid w:val="0020567E"/>
    <w:rsid w:val="00244602"/>
    <w:rsid w:val="00280909"/>
    <w:rsid w:val="002852C3"/>
    <w:rsid w:val="00300C8F"/>
    <w:rsid w:val="00376300"/>
    <w:rsid w:val="003C1DFB"/>
    <w:rsid w:val="003C21F7"/>
    <w:rsid w:val="003D3DCC"/>
    <w:rsid w:val="00401A2D"/>
    <w:rsid w:val="00443B67"/>
    <w:rsid w:val="00463B17"/>
    <w:rsid w:val="004B08AB"/>
    <w:rsid w:val="00574E95"/>
    <w:rsid w:val="00576D00"/>
    <w:rsid w:val="00584A92"/>
    <w:rsid w:val="005853C2"/>
    <w:rsid w:val="005C627F"/>
    <w:rsid w:val="005D4304"/>
    <w:rsid w:val="005F2C01"/>
    <w:rsid w:val="00610866"/>
    <w:rsid w:val="00616207"/>
    <w:rsid w:val="0067161B"/>
    <w:rsid w:val="00702CE1"/>
    <w:rsid w:val="00704369"/>
    <w:rsid w:val="00741238"/>
    <w:rsid w:val="00762C54"/>
    <w:rsid w:val="00764046"/>
    <w:rsid w:val="00797149"/>
    <w:rsid w:val="0079737A"/>
    <w:rsid w:val="007A55E2"/>
    <w:rsid w:val="007F5F17"/>
    <w:rsid w:val="008514F4"/>
    <w:rsid w:val="008C115B"/>
    <w:rsid w:val="00915D23"/>
    <w:rsid w:val="00932B9E"/>
    <w:rsid w:val="00937064"/>
    <w:rsid w:val="009912A1"/>
    <w:rsid w:val="00994B1C"/>
    <w:rsid w:val="009965BA"/>
    <w:rsid w:val="009A61DA"/>
    <w:rsid w:val="00A415BD"/>
    <w:rsid w:val="00AC51C3"/>
    <w:rsid w:val="00B1200F"/>
    <w:rsid w:val="00B51E11"/>
    <w:rsid w:val="00B767CD"/>
    <w:rsid w:val="00BB0B50"/>
    <w:rsid w:val="00BD7CC8"/>
    <w:rsid w:val="00C53C52"/>
    <w:rsid w:val="00C56B86"/>
    <w:rsid w:val="00CD4EBD"/>
    <w:rsid w:val="00D15EBD"/>
    <w:rsid w:val="00DD202E"/>
    <w:rsid w:val="00ED292B"/>
    <w:rsid w:val="00ED5324"/>
    <w:rsid w:val="00EE3A29"/>
    <w:rsid w:val="00F15898"/>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00"/>
    <w:rPr>
      <w:sz w:val="24"/>
      <w:szCs w:val="24"/>
    </w:rPr>
  </w:style>
  <w:style w:type="paragraph" w:styleId="Titre1">
    <w:name w:val="heading 1"/>
    <w:basedOn w:val="Normal"/>
    <w:next w:val="Normal"/>
    <w:link w:val="Titre1Car"/>
    <w:qFormat/>
    <w:rsid w:val="005D4304"/>
    <w:pPr>
      <w:keepNext/>
      <w:spacing w:before="240" w:after="60"/>
      <w:outlineLvl w:val="0"/>
    </w:pPr>
    <w:rPr>
      <w:rFonts w:asciiTheme="majorHAnsi" w:eastAsiaTheme="majorEastAsia" w:hAnsiTheme="majorHAnsi" w:cstheme="majorBidi"/>
      <w:b/>
      <w:bCs/>
      <w:kern w:val="32"/>
      <w:sz w:val="32"/>
      <w:szCs w:val="32"/>
    </w:rPr>
  </w:style>
  <w:style w:type="paragraph" w:styleId="Titre3">
    <w:name w:val="heading 3"/>
    <w:basedOn w:val="Normal"/>
    <w:next w:val="Normal"/>
    <w:link w:val="Titre3Car"/>
    <w:semiHidden/>
    <w:unhideWhenUsed/>
    <w:qFormat/>
    <w:rsid w:val="005D4304"/>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4304"/>
    <w:rPr>
      <w:rFonts w:asciiTheme="majorHAnsi" w:eastAsiaTheme="majorEastAsia" w:hAnsiTheme="majorHAnsi" w:cstheme="majorBidi"/>
      <w:b/>
      <w:bCs/>
      <w:kern w:val="32"/>
      <w:sz w:val="32"/>
      <w:szCs w:val="32"/>
    </w:rPr>
  </w:style>
  <w:style w:type="character" w:styleId="Accentuation">
    <w:name w:val="Emphasis"/>
    <w:basedOn w:val="Policepardfaut"/>
    <w:qFormat/>
    <w:rsid w:val="00576D00"/>
    <w:rPr>
      <w:i/>
      <w:iCs/>
    </w:rPr>
  </w:style>
  <w:style w:type="paragraph" w:styleId="Sansinterligne">
    <w:name w:val="No Spacing"/>
    <w:link w:val="SansinterligneCar"/>
    <w:uiPriority w:val="1"/>
    <w:qFormat/>
    <w:rsid w:val="00027B22"/>
    <w:rPr>
      <w:rFonts w:eastAsiaTheme="minorHAnsi" w:cstheme="minorBidi"/>
      <w:sz w:val="24"/>
      <w:szCs w:val="22"/>
      <w:lang w:eastAsia="en-US"/>
    </w:rPr>
  </w:style>
  <w:style w:type="character" w:customStyle="1" w:styleId="Titre3Car">
    <w:name w:val="Titre 3 Car"/>
    <w:basedOn w:val="Policepardfaut"/>
    <w:link w:val="Titre3"/>
    <w:semiHidden/>
    <w:rsid w:val="005D4304"/>
    <w:rPr>
      <w:rFonts w:asciiTheme="majorHAnsi" w:eastAsiaTheme="majorEastAsia" w:hAnsiTheme="majorHAnsi" w:cstheme="majorBidi"/>
      <w:b/>
      <w:bCs/>
      <w:sz w:val="26"/>
      <w:szCs w:val="26"/>
    </w:rPr>
  </w:style>
  <w:style w:type="character" w:styleId="lev">
    <w:name w:val="Strong"/>
    <w:basedOn w:val="Policepardfaut"/>
    <w:qFormat/>
    <w:rsid w:val="00576D00"/>
    <w:rPr>
      <w:b/>
      <w:bCs/>
    </w:rPr>
  </w:style>
  <w:style w:type="character" w:customStyle="1" w:styleId="SansinterligneCar">
    <w:name w:val="Sans interligne Car"/>
    <w:basedOn w:val="Policepardfaut"/>
    <w:link w:val="Sansinterligne"/>
    <w:uiPriority w:val="1"/>
    <w:rsid w:val="00AC51C3"/>
    <w:rPr>
      <w:rFonts w:eastAsiaTheme="minorHAnsi" w:cstheme="minorBidi"/>
      <w:sz w:val="24"/>
      <w:szCs w:val="22"/>
      <w:lang w:eastAsia="en-US"/>
    </w:rPr>
  </w:style>
  <w:style w:type="paragraph" w:customStyle="1" w:styleId="traditionalarabic2">
    <w:name w:val="traditional arabic2"/>
    <w:basedOn w:val="Normal"/>
    <w:link w:val="traditionalarabic2Car"/>
    <w:qFormat/>
    <w:rsid w:val="00AC51C3"/>
    <w:pPr>
      <w:bidi/>
      <w:spacing w:after="120" w:line="192" w:lineRule="auto"/>
      <w:ind w:firstLine="708"/>
      <w:jc w:val="lowKashida"/>
    </w:pPr>
    <w:rPr>
      <w:rFonts w:ascii="Calibri" w:eastAsia="Calibri" w:hAnsi="Calibri" w:cs="Traditional Arabic"/>
      <w:spacing w:val="-12"/>
      <w:sz w:val="32"/>
      <w:szCs w:val="32"/>
      <w:lang w:eastAsia="en-US"/>
    </w:rPr>
  </w:style>
  <w:style w:type="character" w:customStyle="1" w:styleId="traditionalarabic2Car">
    <w:name w:val="traditional arabic2 Car"/>
    <w:basedOn w:val="Policepardfaut"/>
    <w:link w:val="traditionalarabic2"/>
    <w:rsid w:val="00AC51C3"/>
    <w:rPr>
      <w:rFonts w:ascii="Calibri" w:eastAsia="Calibri" w:hAnsi="Calibri" w:cs="Traditional Arabic"/>
      <w:spacing w:val="-12"/>
      <w:sz w:val="32"/>
      <w:szCs w:val="32"/>
      <w:lang w:eastAsia="en-US"/>
    </w:rPr>
  </w:style>
  <w:style w:type="paragraph" w:styleId="En-tte">
    <w:name w:val="header"/>
    <w:basedOn w:val="Normal"/>
    <w:link w:val="En-tteCar"/>
    <w:uiPriority w:val="99"/>
    <w:semiHidden/>
    <w:unhideWhenUsed/>
    <w:rsid w:val="005853C2"/>
    <w:pPr>
      <w:tabs>
        <w:tab w:val="center" w:pos="4536"/>
        <w:tab w:val="right" w:pos="9072"/>
      </w:tabs>
    </w:pPr>
  </w:style>
  <w:style w:type="character" w:customStyle="1" w:styleId="En-tteCar">
    <w:name w:val="En-tête Car"/>
    <w:basedOn w:val="Policepardfaut"/>
    <w:link w:val="En-tte"/>
    <w:uiPriority w:val="99"/>
    <w:semiHidden/>
    <w:rsid w:val="005853C2"/>
    <w:rPr>
      <w:sz w:val="24"/>
      <w:szCs w:val="24"/>
    </w:rPr>
  </w:style>
  <w:style w:type="paragraph" w:styleId="Pieddepage">
    <w:name w:val="footer"/>
    <w:basedOn w:val="Normal"/>
    <w:link w:val="PieddepageCar"/>
    <w:uiPriority w:val="99"/>
    <w:unhideWhenUsed/>
    <w:rsid w:val="005853C2"/>
    <w:pPr>
      <w:tabs>
        <w:tab w:val="center" w:pos="4536"/>
        <w:tab w:val="right" w:pos="9072"/>
      </w:tabs>
    </w:pPr>
  </w:style>
  <w:style w:type="character" w:customStyle="1" w:styleId="PieddepageCar">
    <w:name w:val="Pied de page Car"/>
    <w:basedOn w:val="Policepardfaut"/>
    <w:link w:val="Pieddepage"/>
    <w:uiPriority w:val="99"/>
    <w:rsid w:val="005853C2"/>
    <w:rPr>
      <w:sz w:val="24"/>
      <w:szCs w:val="24"/>
    </w:rPr>
  </w:style>
  <w:style w:type="character" w:styleId="Lienhypertexte">
    <w:name w:val="Hyperlink"/>
    <w:basedOn w:val="Policepardfaut"/>
    <w:uiPriority w:val="99"/>
    <w:semiHidden/>
    <w:unhideWhenUsed/>
    <w:rsid w:val="005853C2"/>
    <w:rPr>
      <w:color w:val="0000FF"/>
      <w:u w:val="single"/>
    </w:rPr>
  </w:style>
  <w:style w:type="paragraph" w:styleId="NormalWeb">
    <w:name w:val="Normal (Web)"/>
    <w:basedOn w:val="Normal"/>
    <w:uiPriority w:val="99"/>
    <w:unhideWhenUsed/>
    <w:rsid w:val="0020567E"/>
    <w:pPr>
      <w:spacing w:before="100" w:beforeAutospacing="1" w:after="100" w:afterAutospacing="1"/>
    </w:pPr>
  </w:style>
  <w:style w:type="paragraph" w:styleId="Textedebulles">
    <w:name w:val="Balloon Text"/>
    <w:basedOn w:val="Normal"/>
    <w:link w:val="TextedebullesCar"/>
    <w:uiPriority w:val="99"/>
    <w:semiHidden/>
    <w:unhideWhenUsed/>
    <w:rsid w:val="0020567E"/>
    <w:rPr>
      <w:rFonts w:ascii="Tahoma" w:hAnsi="Tahoma" w:cs="Tahoma"/>
      <w:sz w:val="16"/>
      <w:szCs w:val="16"/>
    </w:rPr>
  </w:style>
  <w:style w:type="character" w:customStyle="1" w:styleId="TextedebullesCar">
    <w:name w:val="Texte de bulles Car"/>
    <w:basedOn w:val="Policepardfaut"/>
    <w:link w:val="Textedebulles"/>
    <w:uiPriority w:val="99"/>
    <w:semiHidden/>
    <w:rsid w:val="002056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735</Words>
  <Characters>4048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2011-06-24T02:15:00Z</dcterms:created>
  <dcterms:modified xsi:type="dcterms:W3CDTF">2011-06-24T05:35:00Z</dcterms:modified>
</cp:coreProperties>
</file>