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Default="001622E1" w:rsidP="001622E1"/>
    <w:p w:rsidR="001622E1" w:rsidRPr="00CE66F6" w:rsidRDefault="001622E1" w:rsidP="001622E1">
      <w:pPr>
        <w:rPr>
          <w:rFonts w:asciiTheme="majorBidi" w:hAnsiTheme="majorBidi" w:cstheme="majorBidi"/>
        </w:rPr>
      </w:pPr>
    </w:p>
    <w:p w:rsidR="001622E1" w:rsidRDefault="001622E1" w:rsidP="001622E1">
      <w:pPr>
        <w:jc w:val="right"/>
        <w:rPr>
          <w:color w:val="7F7F7F"/>
          <w:sz w:val="32"/>
          <w:szCs w:val="32"/>
        </w:rPr>
      </w:pPr>
      <w:r w:rsidRPr="00A975B9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1622E1" w:rsidTr="00767190">
        <w:tc>
          <w:tcPr>
            <w:tcW w:w="9576" w:type="dxa"/>
          </w:tcPr>
          <w:p w:rsidR="001622E1" w:rsidRPr="002C713A" w:rsidRDefault="001622E1" w:rsidP="0076719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1622E1" w:rsidRPr="002C713A" w:rsidRDefault="001622E1" w:rsidP="0076719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1622E1" w:rsidRPr="002C713A" w:rsidRDefault="001622E1" w:rsidP="001622E1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  <w:r w:rsidRPr="002C713A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Par l’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I</w:t>
            </w:r>
            <w:r w:rsidRPr="002C713A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â</w:t>
            </w:r>
            <w:r w:rsidRPr="002C713A"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 xml:space="preserve">m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Ibn Qouddâma Al Maqdissi</w:t>
            </w:r>
          </w:p>
        </w:tc>
      </w:tr>
    </w:tbl>
    <w:p w:rsidR="001622E1" w:rsidRDefault="001622E1" w:rsidP="001622E1">
      <w:pPr>
        <w:jc w:val="right"/>
        <w:rPr>
          <w:color w:val="7F7F7F"/>
          <w:sz w:val="32"/>
          <w:szCs w:val="32"/>
        </w:rPr>
      </w:pPr>
    </w:p>
    <w:p w:rsidR="001622E1" w:rsidRPr="009A570F" w:rsidRDefault="001622E1" w:rsidP="001622E1">
      <w:r w:rsidRPr="00A975B9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1622E1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1622E1" w:rsidRPr="00344919" w:rsidRDefault="001622E1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3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1622E1" w:rsidRPr="001622E1" w:rsidRDefault="001622E1" w:rsidP="001622E1">
                        <w:pPr>
                          <w:widowControl w:val="0"/>
                          <w:adjustRightInd w:val="0"/>
                          <w:spacing w:after="100"/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 w:rsidRPr="001622E1">
                          <w:rPr>
                            <w:rStyle w:val="lev"/>
                            <w:color w:val="FFFFFF" w:themeColor="background1"/>
                            <w:sz w:val="48"/>
                            <w:szCs w:val="48"/>
                          </w:rPr>
                          <w:t>Le statut de celui qui  abandonne de la prière [Tark as-Salat]</w:t>
                        </w:r>
                      </w:p>
                    </w:tc>
                  </w:tr>
                </w:tbl>
                <w:p w:rsidR="001622E1" w:rsidRPr="00344919" w:rsidRDefault="001622E1" w:rsidP="001622E1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>
        <w:br w:type="page"/>
      </w:r>
    </w:p>
    <w:p w:rsidR="001622E1" w:rsidRDefault="001622E1" w:rsidP="001622E1">
      <w:pPr>
        <w:jc w:val="center"/>
      </w:pPr>
      <w:r>
        <w:rPr>
          <w:noProof/>
        </w:rPr>
        <w:lastRenderedPageBreak/>
        <w:drawing>
          <wp:inline distT="0" distB="0" distL="0" distR="0">
            <wp:extent cx="2571750" cy="1771650"/>
            <wp:effectExtent l="19050" t="0" r="0" b="0"/>
            <wp:docPr id="4" name="Image 1" descr="bismill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2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2E1" w:rsidRDefault="001622E1" w:rsidP="001622E1">
      <w:pPr>
        <w:pStyle w:val="NormalWeb"/>
        <w:spacing w:before="0" w:beforeAutospacing="0" w:after="0" w:afterAutospacing="0"/>
      </w:pPr>
      <w:r>
        <w:t xml:space="preserve"> </w:t>
      </w:r>
    </w:p>
    <w:p w:rsidR="001622E1" w:rsidRPr="001622E1" w:rsidRDefault="001622E1" w:rsidP="001622E1">
      <w:pPr>
        <w:pStyle w:val="Sansinterligne"/>
      </w:pPr>
    </w:p>
    <w:p w:rsidR="008F0A28" w:rsidRPr="001622E1" w:rsidRDefault="008F0A28" w:rsidP="001622E1">
      <w:pPr>
        <w:pStyle w:val="Sansinterligne"/>
        <w:bidi/>
        <w:rPr>
          <w:rFonts w:asciiTheme="majorBidi" w:hAnsiTheme="majorBidi" w:cstheme="majorBidi"/>
          <w:sz w:val="32"/>
          <w:szCs w:val="32"/>
          <w:rtl/>
        </w:rPr>
      </w:pPr>
      <w:r w:rsidRPr="001622E1">
        <w:rPr>
          <w:rFonts w:asciiTheme="majorBidi" w:hAnsiTheme="majorBidi" w:cstheme="majorBidi"/>
          <w:sz w:val="32"/>
          <w:szCs w:val="32"/>
          <w:rtl/>
        </w:rPr>
        <w:t>وَلَا خِلَافَ بَيْنَ أَهْلِ الْعِلْمِ فِي كُفْرِ مَنْ تَرَكَهَا جَاحِدًا لِوُجُوبِهَا ، إذَا كَانَ مِمَّنْ لَا يَجْهَلُ مِثْلُهُ ذَلِكَ، فَإِنْ كَانَ مِمَّنْ لَا يَعْرِفُ الْوُجُوبَ ، كَحَدِيثِ الْإِسْلَامِ ، وَالنَّاشِئِ بِغَيْرِ دَارِ الْإِسْلَامِ أَوْ بَادِيَةٍ بَعِيدَةٍ عَنْ الْأَمْصَارِ وَأَهْلِ الْعِلْمِ ، لَمْ يُحْكَمْ بِكُفْرِهِ ، وَعُرِّفَ ذَلِكَ ، وَتُثْبَتُ لَهُ أَدِلَّةُ وُجُوبِهَا ، فَإِنْ جَحَدَهَا بَعْدَ ذَلِكَ كَفَرَ .وَأَمَّا إذَا كَانَ الْجَاحِدُ لَهَا نَاشِئًا فِي الْأَمْصَارِ بَيْنَ أَهْلِ الْعِلْمِ ، فَإِنَّهُ يُكَفَّرُ بِمُجَرَّدِ جَحْدِهَا ، وَكَذَلِكَ الْحُكْمُ فِي مَبَانِي الْإِسْلَامِ كُلِّهَا ، وَهِيَ الزَّكَاةُ وَالصِّيَامُ وَالْحَجُّ ؛ لِأَنَّهَا مَبَانِي الْإِسْلَامِ ، وَأَدِلَّةُ وُجُوبِهَا لَا تَكَادُ تَخْفَى ، إذْ كَانَ الْكِتَابُ وَالسُّنَّةُ مَشْحُونَيْنِ بِأَدِلَّتِهَا ، وَالْإِجْمَاعُ مُنْعَقِدٌ عَلَيْهَا ، فَلَا يَجْحَدُهَا إلَّا مُعَانِدٌ لِلْإِسْلَامِ ، يَمْتَنِعُ مِنْ الْتِزَامِ الْأَحْكَامِ ، غَيْرُ قَابِلٍ لِكِتَابِ اللَّهِ تَعَالَى وَلَا سُنَّةِ رَسُولِهِ وَلَا إجْمَاعِ أُمَّتِهِ .</w:t>
      </w:r>
    </w:p>
    <w:p w:rsidR="001622E1" w:rsidRDefault="001622E1" w:rsidP="001622E1">
      <w:pPr>
        <w:pStyle w:val="Sansinterligne"/>
      </w:pPr>
    </w:p>
    <w:p w:rsidR="001622E1" w:rsidRPr="001622E1" w:rsidRDefault="008F0A28" w:rsidP="001622E1">
      <w:pPr>
        <w:pStyle w:val="Sansinterligne"/>
        <w:rPr>
          <w:b/>
          <w:bCs/>
          <w:color w:val="00B050"/>
        </w:rPr>
      </w:pPr>
      <w:r w:rsidRPr="001622E1">
        <w:t>« </w:t>
      </w:r>
      <w:r w:rsidRPr="001622E1">
        <w:rPr>
          <w:b/>
          <w:bCs/>
          <w:color w:val="00B050"/>
        </w:rPr>
        <w:t xml:space="preserve">Il n’y a pas de divergence entre les savants quant à la mécréance de celui qui abandonne [la prière] en reniant son obligation, si une personne comme lui ne peut ignorer [qu’elle est obligatoire]. </w:t>
      </w:r>
    </w:p>
    <w:p w:rsidR="001622E1" w:rsidRPr="001622E1" w:rsidRDefault="001622E1" w:rsidP="001622E1">
      <w:pPr>
        <w:pStyle w:val="Sansinterligne"/>
        <w:rPr>
          <w:b/>
          <w:bCs/>
          <w:color w:val="00B050"/>
        </w:rPr>
      </w:pPr>
    </w:p>
    <w:p w:rsidR="001622E1" w:rsidRDefault="008F0A28" w:rsidP="001622E1">
      <w:pPr>
        <w:pStyle w:val="Sansinterligne"/>
        <w:rPr>
          <w:b/>
          <w:bCs/>
          <w:color w:val="00B050"/>
        </w:rPr>
      </w:pPr>
      <w:r w:rsidRPr="001622E1">
        <w:rPr>
          <w:b/>
          <w:bCs/>
          <w:color w:val="00B050"/>
        </w:rPr>
        <w:t>Par contre, si une personne telle que lui n’en connait pas l’obligation, comme celui qui vient de se convertir à l’Islam, ou qui ne grandit pas dans une terre d’Islam, ou dans un désert loin des contrées où se trouvent les savants : il ne sera pas jugé mécréant.</w:t>
      </w:r>
      <w:r w:rsidRPr="001622E1">
        <w:rPr>
          <w:rStyle w:val="Appelnotedebasdep"/>
          <w:b/>
          <w:bCs/>
          <w:color w:val="00B050"/>
          <w:szCs w:val="24"/>
        </w:rPr>
        <w:footnoteReference w:id="1"/>
      </w:r>
      <w:r w:rsidRPr="001622E1">
        <w:rPr>
          <w:b/>
          <w:bCs/>
          <w:color w:val="00B050"/>
        </w:rPr>
        <w:t xml:space="preserve"> </w:t>
      </w:r>
    </w:p>
    <w:p w:rsidR="001622E1" w:rsidRDefault="001622E1" w:rsidP="001622E1">
      <w:pPr>
        <w:pStyle w:val="Sansinterligne"/>
        <w:rPr>
          <w:b/>
          <w:bCs/>
          <w:color w:val="00B050"/>
        </w:rPr>
      </w:pPr>
    </w:p>
    <w:p w:rsidR="001622E1" w:rsidRPr="001622E1" w:rsidRDefault="008F0A28" w:rsidP="001622E1">
      <w:pPr>
        <w:pStyle w:val="Sansinterligne"/>
        <w:rPr>
          <w:b/>
          <w:bCs/>
          <w:color w:val="00B050"/>
        </w:rPr>
      </w:pPr>
      <w:r w:rsidRPr="001622E1">
        <w:rPr>
          <w:b/>
          <w:bCs/>
          <w:color w:val="00B050"/>
        </w:rPr>
        <w:t xml:space="preserve">Il faudra d’abord lui faire connaître [l’obligation de la prière] et lui confirmer les preuves de son obligation ; si après cela il en renie toujours l’obligation : il devient mécréant. Mais si celui qui en renie l’obligation est quelqu’un qui grandit dans une contrée où se trouvent les savants : il devient mécréant dès qu’il la renie. </w:t>
      </w:r>
    </w:p>
    <w:p w:rsidR="001622E1" w:rsidRPr="001622E1" w:rsidRDefault="001622E1" w:rsidP="001622E1">
      <w:pPr>
        <w:pStyle w:val="Sansinterligne"/>
        <w:rPr>
          <w:b/>
          <w:bCs/>
          <w:color w:val="00B050"/>
        </w:rPr>
      </w:pPr>
    </w:p>
    <w:p w:rsidR="001622E1" w:rsidRPr="001622E1" w:rsidRDefault="008F0A28" w:rsidP="001622E1">
      <w:pPr>
        <w:pStyle w:val="Sansinterligne"/>
        <w:rPr>
          <w:b/>
          <w:bCs/>
          <w:color w:val="00B050"/>
        </w:rPr>
      </w:pPr>
      <w:r w:rsidRPr="001622E1">
        <w:rPr>
          <w:b/>
          <w:bCs/>
          <w:color w:val="00B050"/>
        </w:rPr>
        <w:t xml:space="preserve">Et il en est de même pour tous les piliers de l’Islam qui sont la </w:t>
      </w:r>
      <w:proofErr w:type="spellStart"/>
      <w:r w:rsidRPr="001622E1">
        <w:rPr>
          <w:b/>
          <w:bCs/>
          <w:color w:val="00B050"/>
        </w:rPr>
        <w:t>Zakât</w:t>
      </w:r>
      <w:proofErr w:type="spellEnd"/>
      <w:r w:rsidRPr="001622E1">
        <w:rPr>
          <w:b/>
          <w:bCs/>
          <w:color w:val="00B050"/>
        </w:rPr>
        <w:t xml:space="preserve">, le jeûne et le pèlerinage : car ce sont les piliers de l’Islam et les preuves de leurs caractère obligatoire n’échappe quasiment à personne, vu que le Coran et la Sounna sont rependus ainsi que leurs preuves, ceci fait objet de consensus. </w:t>
      </w:r>
    </w:p>
    <w:p w:rsidR="001622E1" w:rsidRPr="001622E1" w:rsidRDefault="001622E1" w:rsidP="001622E1">
      <w:pPr>
        <w:pStyle w:val="Sansinterligne"/>
        <w:rPr>
          <w:b/>
          <w:bCs/>
          <w:color w:val="00B050"/>
        </w:rPr>
      </w:pPr>
    </w:p>
    <w:p w:rsidR="001622E1" w:rsidRPr="001622E1" w:rsidRDefault="008F0A28" w:rsidP="001622E1">
      <w:pPr>
        <w:pStyle w:val="Sansinterligne"/>
      </w:pPr>
      <w:r w:rsidRPr="001622E1">
        <w:rPr>
          <w:b/>
          <w:bCs/>
          <w:color w:val="00B050"/>
        </w:rPr>
        <w:t>Le seul qui puisse renier son obligation est celui qui s’entête contre l’Islam et refuse de s’engager à ses lois et d’accepter le Livre d’Allah, la Sounna de Son prophète et le consensus de sa communauté. </w:t>
      </w:r>
      <w:r w:rsidRPr="001622E1">
        <w:t xml:space="preserve">» </w:t>
      </w:r>
    </w:p>
    <w:p w:rsidR="001622E1" w:rsidRPr="001622E1" w:rsidRDefault="001622E1" w:rsidP="001622E1">
      <w:pPr>
        <w:pStyle w:val="Sansinterligne"/>
      </w:pPr>
    </w:p>
    <w:p w:rsidR="001622E1" w:rsidRDefault="001622E1" w:rsidP="001622E1">
      <w:pPr>
        <w:pStyle w:val="Sansinterligne"/>
      </w:pPr>
    </w:p>
    <w:p w:rsidR="008F0A28" w:rsidRDefault="001622E1" w:rsidP="001622E1">
      <w:pPr>
        <w:pStyle w:val="Sansinterligne"/>
      </w:pPr>
      <w:r w:rsidRPr="001622E1">
        <w:rPr>
          <w:b/>
          <w:bCs/>
          <w:u w:val="single"/>
        </w:rPr>
        <w:t>Source</w:t>
      </w:r>
      <w:r w:rsidRPr="001622E1">
        <w:t xml:space="preserve"> : </w:t>
      </w:r>
      <w:r w:rsidR="008F0A28" w:rsidRPr="001622E1">
        <w:t xml:space="preserve">Al </w:t>
      </w:r>
      <w:proofErr w:type="spellStart"/>
      <w:r w:rsidR="008F0A28" w:rsidRPr="001622E1">
        <w:t>Moughnî</w:t>
      </w:r>
      <w:proofErr w:type="spellEnd"/>
      <w:r w:rsidRPr="001622E1">
        <w:t>, tome</w:t>
      </w:r>
      <w:r w:rsidR="008F0A28" w:rsidRPr="001622E1">
        <w:t xml:space="preserve"> 12</w:t>
      </w:r>
      <w:r w:rsidRPr="001622E1">
        <w:t xml:space="preserve">, page </w:t>
      </w:r>
      <w:r w:rsidR="008F0A28" w:rsidRPr="001622E1">
        <w:t>275</w:t>
      </w:r>
      <w:r w:rsidRPr="001622E1">
        <w:t>.</w:t>
      </w:r>
    </w:p>
    <w:sectPr w:rsidR="008F0A28" w:rsidSect="001622E1">
      <w:footerReference w:type="default" r:id="rId8"/>
      <w:pgSz w:w="11906" w:h="16838" w:code="9"/>
      <w:pgMar w:top="1417" w:right="1417" w:bottom="1417" w:left="1417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80" w:rsidRDefault="00D31380" w:rsidP="008F0A28">
      <w:r>
        <w:separator/>
      </w:r>
    </w:p>
  </w:endnote>
  <w:endnote w:type="continuationSeparator" w:id="0">
    <w:p w:rsidR="00D31380" w:rsidRDefault="00D31380" w:rsidP="008F0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8482727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1622E1" w:rsidRPr="00813800" w:rsidRDefault="001622E1" w:rsidP="001622E1">
        <w:pPr>
          <w:pStyle w:val="Pieddepage"/>
          <w:jc w:val="right"/>
          <w:rPr>
            <w:rFonts w:asciiTheme="majorBidi" w:hAnsiTheme="majorBidi" w:cstheme="majorBidi"/>
          </w:rPr>
        </w:pPr>
        <w:r w:rsidRPr="00813800">
          <w:rPr>
            <w:rFonts w:asciiTheme="majorBidi" w:hAnsiTheme="majorBidi" w:cstheme="majorBidi"/>
            <w:b/>
            <w:bCs/>
          </w:rPr>
          <w:fldChar w:fldCharType="begin"/>
        </w:r>
        <w:r w:rsidRPr="00813800">
          <w:rPr>
            <w:rFonts w:asciiTheme="majorBidi" w:hAnsiTheme="majorBidi" w:cstheme="majorBidi"/>
            <w:b/>
            <w:bCs/>
          </w:rPr>
          <w:instrText xml:space="preserve"> PAGE   \* MERGEFORMAT </w:instrText>
        </w:r>
        <w:r w:rsidRPr="00813800">
          <w:rPr>
            <w:rFonts w:asciiTheme="majorBidi" w:hAnsiTheme="majorBidi" w:cstheme="majorBidi"/>
            <w:b/>
            <w:bCs/>
          </w:rPr>
          <w:fldChar w:fldCharType="separate"/>
        </w:r>
        <w:r>
          <w:rPr>
            <w:rFonts w:asciiTheme="majorBidi" w:hAnsiTheme="majorBidi" w:cstheme="majorBidi"/>
            <w:b/>
            <w:bCs/>
            <w:noProof/>
          </w:rPr>
          <w:t>2</w:t>
        </w:r>
        <w:r w:rsidRPr="00813800">
          <w:rPr>
            <w:rFonts w:asciiTheme="majorBidi" w:hAnsiTheme="majorBidi" w:cstheme="majorBidi"/>
            <w:b/>
            <w:bCs/>
          </w:rPr>
          <w:fldChar w:fldCharType="end"/>
        </w:r>
      </w:p>
    </w:sdtContent>
  </w:sdt>
  <w:sdt>
    <w:sdtPr>
      <w:rPr>
        <w:rFonts w:asciiTheme="majorBidi" w:hAnsiTheme="majorBidi" w:cstheme="majorBidi"/>
        <w:b/>
        <w:bCs/>
        <w:sz w:val="28"/>
        <w:szCs w:val="28"/>
      </w:rPr>
      <w:id w:val="66406374"/>
      <w:docPartObj>
        <w:docPartGallery w:val="Page Numbers (Bottom of Page)"/>
        <w:docPartUnique/>
      </w:docPartObj>
    </w:sdtPr>
    <w:sdtContent>
      <w:p w:rsidR="001622E1" w:rsidRPr="00813800" w:rsidRDefault="001622E1" w:rsidP="001622E1">
        <w:pPr>
          <w:pStyle w:val="Pieddepage"/>
          <w:jc w:val="center"/>
          <w:rPr>
            <w:rFonts w:asciiTheme="majorBidi" w:hAnsiTheme="majorBidi" w:cstheme="majorBidi"/>
            <w:b/>
            <w:bCs/>
            <w:sz w:val="28"/>
            <w:szCs w:val="28"/>
          </w:rPr>
        </w:pPr>
        <w:hyperlink r:id="rId1" w:history="1">
          <w:r w:rsidRPr="00813800">
            <w:rPr>
              <w:rStyle w:val="Lienhypertexte"/>
              <w:rFonts w:asciiTheme="majorBidi" w:eastAsiaTheme="majorEastAsia" w:hAnsiTheme="majorBidi" w:cstheme="majorBidi"/>
              <w:b/>
              <w:bCs/>
              <w:sz w:val="28"/>
              <w:szCs w:val="28"/>
            </w:rPr>
            <w:t>http://bibliotheque-islamique-coran-sunna.over-blog.com/</w:t>
          </w:r>
          <w:r w:rsidRPr="00D26407">
            <w:rPr>
              <w:rStyle w:val="Lienhypertexte"/>
              <w:rFonts w:asciiTheme="majorBidi" w:eastAsiaTheme="majorEastAsia" w:hAnsiTheme="majorBidi" w:cstheme="majorBidi"/>
              <w:b/>
              <w:bCs/>
              <w:color w:val="auto"/>
              <w:sz w:val="28"/>
              <w:szCs w:val="28"/>
              <w:lang w:eastAsia="zh-TW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3" type="#_x0000_t32" style="position:absolute;left:0;text-align:left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  <w10:wrap anchorx="margin" anchory="page"/>
              </v:shape>
            </w:pict>
          </w:r>
        </w:hyperlink>
      </w:p>
    </w:sdtContent>
  </w:sdt>
  <w:p w:rsidR="001622E1" w:rsidRDefault="001622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80" w:rsidRDefault="00D31380" w:rsidP="008F0A28">
      <w:r>
        <w:separator/>
      </w:r>
    </w:p>
  </w:footnote>
  <w:footnote w:type="continuationSeparator" w:id="0">
    <w:p w:rsidR="00D31380" w:rsidRDefault="00D31380" w:rsidP="008F0A28">
      <w:r>
        <w:continuationSeparator/>
      </w:r>
    </w:p>
  </w:footnote>
  <w:footnote w:id="1">
    <w:p w:rsidR="008F0A28" w:rsidRPr="00EB6A6E" w:rsidRDefault="008F0A28" w:rsidP="008F0A28">
      <w:pPr>
        <w:pStyle w:val="Sansinterligne"/>
        <w:jc w:val="both"/>
        <w:rPr>
          <w:rFonts w:eastAsia="Calibri" w:cs="Traditional Arabic"/>
          <w:color w:val="000000"/>
          <w:sz w:val="20"/>
          <w:szCs w:val="20"/>
          <w:lang w:val="fr-BE"/>
        </w:rPr>
      </w:pPr>
      <w:r w:rsidRPr="00EB6A6E">
        <w:rPr>
          <w:rStyle w:val="Appelnotedebasdep"/>
          <w:rFonts w:eastAsia="Calibri" w:cs="Traditional Arabic"/>
          <w:color w:val="000000"/>
          <w:sz w:val="20"/>
          <w:szCs w:val="20"/>
        </w:rPr>
        <w:footnoteRef/>
      </w:r>
      <w:r w:rsidRPr="00EB6A6E">
        <w:rPr>
          <w:rFonts w:eastAsia="Calibri" w:cs="Traditional Arabic"/>
          <w:color w:val="000000"/>
          <w:sz w:val="20"/>
          <w:szCs w:val="20"/>
        </w:rPr>
        <w:t xml:space="preserve"> </w:t>
      </w:r>
      <w:r w:rsidRPr="00EB6A6E">
        <w:rPr>
          <w:rFonts w:eastAsia="Calibri" w:cs="Traditional Arabic"/>
          <w:color w:val="000000"/>
          <w:sz w:val="20"/>
          <w:szCs w:val="20"/>
          <w:lang w:val="fr-BE"/>
        </w:rPr>
        <w:t>C'est-à-dire : il n’est pas banni de l’Islam et reste musulman, tant qu’il est monothéiste.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0A28"/>
    <w:rsid w:val="00027B22"/>
    <w:rsid w:val="00044B3B"/>
    <w:rsid w:val="000C0174"/>
    <w:rsid w:val="001044C0"/>
    <w:rsid w:val="00104B62"/>
    <w:rsid w:val="00107DEC"/>
    <w:rsid w:val="00152159"/>
    <w:rsid w:val="00155319"/>
    <w:rsid w:val="001622E1"/>
    <w:rsid w:val="00170435"/>
    <w:rsid w:val="001C28F7"/>
    <w:rsid w:val="00244602"/>
    <w:rsid w:val="00280909"/>
    <w:rsid w:val="002852C3"/>
    <w:rsid w:val="00300C8F"/>
    <w:rsid w:val="00376300"/>
    <w:rsid w:val="003C1DFB"/>
    <w:rsid w:val="003C21F7"/>
    <w:rsid w:val="003D3DCC"/>
    <w:rsid w:val="00401A2D"/>
    <w:rsid w:val="00463B17"/>
    <w:rsid w:val="004B08AB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179F0"/>
    <w:rsid w:val="00741238"/>
    <w:rsid w:val="00762C54"/>
    <w:rsid w:val="00764046"/>
    <w:rsid w:val="0079737A"/>
    <w:rsid w:val="007A55E2"/>
    <w:rsid w:val="007F5F17"/>
    <w:rsid w:val="008514F4"/>
    <w:rsid w:val="00872D23"/>
    <w:rsid w:val="008C115B"/>
    <w:rsid w:val="008E17D3"/>
    <w:rsid w:val="008F0A28"/>
    <w:rsid w:val="00915D23"/>
    <w:rsid w:val="00932B9E"/>
    <w:rsid w:val="00937064"/>
    <w:rsid w:val="009912A1"/>
    <w:rsid w:val="00994B1C"/>
    <w:rsid w:val="009965BA"/>
    <w:rsid w:val="009A61DA"/>
    <w:rsid w:val="009C09E5"/>
    <w:rsid w:val="00B1200F"/>
    <w:rsid w:val="00B51E11"/>
    <w:rsid w:val="00BB0B50"/>
    <w:rsid w:val="00BD7CC8"/>
    <w:rsid w:val="00C53C52"/>
    <w:rsid w:val="00C56B86"/>
    <w:rsid w:val="00CD4EBD"/>
    <w:rsid w:val="00D15EBD"/>
    <w:rsid w:val="00D31380"/>
    <w:rsid w:val="00DD202E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uiPriority w:val="22"/>
    <w:qFormat/>
    <w:rsid w:val="00576D00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0A28"/>
    <w:rPr>
      <w:rFonts w:eastAsiaTheme="minorHAnsi" w:cstheme="minorBidi"/>
      <w:sz w:val="24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8F0A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0A28"/>
  </w:style>
  <w:style w:type="character" w:styleId="Appelnotedebasdep">
    <w:name w:val="footnote reference"/>
    <w:aliases w:val="AA Footnote"/>
    <w:basedOn w:val="Policepardfaut"/>
    <w:uiPriority w:val="99"/>
    <w:semiHidden/>
    <w:unhideWhenUsed/>
    <w:rsid w:val="008F0A28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1622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2E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622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22E1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622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22E1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22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2011-06-28T11:26:00Z</cp:lastPrinted>
  <dcterms:created xsi:type="dcterms:W3CDTF">2011-06-25T14:33:00Z</dcterms:created>
  <dcterms:modified xsi:type="dcterms:W3CDTF">2011-06-28T11:26:00Z</dcterms:modified>
</cp:coreProperties>
</file>