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Default="00150A03" w:rsidP="00150A03"/>
    <w:p w:rsidR="00150A03" w:rsidRPr="00CE66F6" w:rsidRDefault="00150A03" w:rsidP="00150A03">
      <w:pPr>
        <w:rPr>
          <w:rFonts w:asciiTheme="majorBidi" w:hAnsiTheme="majorBidi" w:cstheme="majorBidi"/>
        </w:rPr>
      </w:pPr>
    </w:p>
    <w:p w:rsidR="00150A03" w:rsidRDefault="00150A03" w:rsidP="00150A03">
      <w:pPr>
        <w:jc w:val="right"/>
        <w:rPr>
          <w:color w:val="7F7F7F"/>
          <w:sz w:val="32"/>
          <w:szCs w:val="32"/>
        </w:rPr>
      </w:pPr>
      <w:r w:rsidRPr="007A3FB9">
        <w:rPr>
          <w:noProof/>
          <w:color w:val="C4BC96"/>
          <w:sz w:val="32"/>
          <w:szCs w:val="32"/>
          <w:lang w:eastAsia="en-US"/>
        </w:rPr>
        <w:pict>
          <v:group id="_x0000_s2050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205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205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150A03" w:rsidTr="00DA7CAB">
        <w:tc>
          <w:tcPr>
            <w:tcW w:w="9576" w:type="dxa"/>
          </w:tcPr>
          <w:p w:rsidR="00150A03" w:rsidRPr="002C713A" w:rsidRDefault="00150A03" w:rsidP="00DA7C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150A03" w:rsidRPr="002C713A" w:rsidRDefault="00150A03" w:rsidP="00DA7C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150A03" w:rsidRPr="002C713A" w:rsidRDefault="00150A03" w:rsidP="00DA7C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â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Taymiyyah</w:t>
            </w:r>
          </w:p>
        </w:tc>
      </w:tr>
    </w:tbl>
    <w:p w:rsidR="00150A03" w:rsidRDefault="00150A03" w:rsidP="00150A03">
      <w:pPr>
        <w:jc w:val="right"/>
        <w:rPr>
          <w:color w:val="7F7F7F"/>
          <w:sz w:val="32"/>
          <w:szCs w:val="32"/>
        </w:rPr>
      </w:pPr>
    </w:p>
    <w:p w:rsidR="00150A03" w:rsidRPr="009A570F" w:rsidRDefault="00150A03" w:rsidP="00150A03">
      <w:r w:rsidRPr="007A3FB9">
        <w:rPr>
          <w:noProof/>
          <w:color w:val="C4BC96"/>
          <w:sz w:val="32"/>
          <w:szCs w:val="32"/>
          <w:lang w:eastAsia="en-US"/>
        </w:rPr>
        <w:pict>
          <v:rect id="_x0000_s2053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205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150A03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150A03" w:rsidRPr="00344919" w:rsidRDefault="00150A03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5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150A03" w:rsidRPr="000E5E7D" w:rsidRDefault="000E5E7D" w:rsidP="00150A03">
                        <w:pPr>
                          <w:widowControl w:val="0"/>
                          <w:adjustRightInd w:val="0"/>
                          <w:spacing w:after="100"/>
                          <w:rPr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</w:pPr>
                        <w:r w:rsidRPr="000E5E7D">
                          <w:rPr>
                            <w:rFonts w:cs="Traditional Arabic"/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  <w:t xml:space="preserve">Le </w:t>
                        </w:r>
                        <w:r w:rsidR="00150A03" w:rsidRPr="000E5E7D">
                          <w:rPr>
                            <w:rFonts w:cs="Traditional Arabic"/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  <w:t>Polythéisme </w:t>
                        </w:r>
                        <w:r w:rsidRPr="000E5E7D">
                          <w:rPr>
                            <w:rFonts w:cs="Traditional Arabic"/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  <w:t>« </w:t>
                        </w:r>
                        <w:r w:rsidR="00150A03" w:rsidRPr="000E5E7D">
                          <w:rPr>
                            <w:rFonts w:cs="Traditional Arabic"/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  <w:t>ash-Shîrk</w:t>
                        </w:r>
                        <w:r w:rsidRPr="000E5E7D">
                          <w:rPr>
                            <w:rFonts w:cs="Traditional Arabic"/>
                            <w:b/>
                            <w:bCs/>
                            <w:color w:val="FFFFFF" w:themeColor="background1"/>
                            <w:sz w:val="66"/>
                            <w:szCs w:val="66"/>
                          </w:rPr>
                          <w:t> »</w:t>
                        </w:r>
                      </w:p>
                    </w:tc>
                  </w:tr>
                </w:tbl>
                <w:p w:rsidR="00150A03" w:rsidRPr="00344919" w:rsidRDefault="00150A03" w:rsidP="00150A03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59256B" w:rsidRDefault="00150A03" w:rsidP="00150A03">
      <w:pPr>
        <w:pStyle w:val="Sansinterligne"/>
        <w:ind w:firstLine="360"/>
        <w:jc w:val="center"/>
        <w:rPr>
          <w:rFonts w:cs="Traditional Arabic"/>
          <w:color w:val="000000"/>
          <w:szCs w:val="24"/>
        </w:rPr>
      </w:pPr>
      <w:r>
        <w:rPr>
          <w:rFonts w:cs="Traditional Arabic"/>
          <w:noProof/>
          <w:color w:val="000000"/>
          <w:szCs w:val="24"/>
          <w:lang w:eastAsia="fr-FR"/>
        </w:rPr>
        <w:lastRenderedPageBreak/>
        <w:drawing>
          <wp:inline distT="0" distB="0" distL="0" distR="0">
            <wp:extent cx="2457450" cy="1866900"/>
            <wp:effectExtent l="19050" t="0" r="0" b="0"/>
            <wp:docPr id="1" name="Image 0" descr="bismi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B" w:rsidRDefault="0059256B" w:rsidP="0059256B">
      <w:pPr>
        <w:pStyle w:val="Sansinterligne"/>
        <w:jc w:val="both"/>
        <w:rPr>
          <w:rFonts w:cs="Traditional Arabic"/>
          <w:color w:val="000000"/>
          <w:szCs w:val="24"/>
        </w:rPr>
      </w:pPr>
    </w:p>
    <w:p w:rsidR="000E5E7D" w:rsidRPr="00EB6A6E" w:rsidRDefault="000E5E7D" w:rsidP="0059256B">
      <w:pPr>
        <w:pStyle w:val="Sansinterligne"/>
        <w:jc w:val="both"/>
        <w:rPr>
          <w:rFonts w:cs="Traditional Arabic"/>
          <w:color w:val="000000"/>
          <w:szCs w:val="24"/>
        </w:rPr>
      </w:pPr>
    </w:p>
    <w:p w:rsidR="00150A03" w:rsidRPr="000E5E7D" w:rsidRDefault="00150A03" w:rsidP="000E5E7D">
      <w:pPr>
        <w:pStyle w:val="Sansinterligne"/>
        <w:jc w:val="right"/>
        <w:rPr>
          <w:rFonts w:asciiTheme="majorBidi" w:hAnsiTheme="majorBidi" w:cstheme="majorBidi"/>
          <w:color w:val="000000"/>
          <w:szCs w:val="24"/>
        </w:rPr>
      </w:pPr>
    </w:p>
    <w:p w:rsidR="0059256B" w:rsidRPr="000E5E7D" w:rsidRDefault="0059256B" w:rsidP="000E5E7D">
      <w:pPr>
        <w:pStyle w:val="Sansinterligne"/>
        <w:bidi/>
        <w:rPr>
          <w:rFonts w:asciiTheme="majorBidi" w:hAnsiTheme="majorBidi" w:cstheme="majorBidi"/>
          <w:color w:val="000000"/>
          <w:spacing w:val="-12"/>
          <w:sz w:val="32"/>
          <w:szCs w:val="32"/>
          <w:lang w:val="fr-BE"/>
        </w:rPr>
      </w:pPr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اعْلَمْ رَحِمَكَ اللَّهُ أَنَّ الشِّرْكَ بِاَللَّهِ أَعْظَمُ ذَنْبٍ عُصِيَ اللَّهُ </w:t>
      </w:r>
      <w:proofErr w:type="gramStart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>بِهِ .</w:t>
      </w:r>
      <w:proofErr w:type="gramEnd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 </w:t>
      </w:r>
      <w:proofErr w:type="gramStart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>قَالَ ا</w:t>
      </w:r>
      <w:proofErr w:type="gramEnd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للَّهُ تَعَالَى : { إنَّ اللَّهَ لَا يَغْفِرُ أَنْ يُشْرَكَ بِهِ وَيَغْفِرُ مَا دُونَ ذَلِكَ لِمَنْ يَشَاءُ } وَفِي الصَّحِيحَيْنِ أَنَّهُ صَلَّى اللَّهُ عَلَيْهِ وَسَلَّمَ { سُئِلَ : أَيُّ الذَّنْبِ أَعْظَمُ ؟ . قَالَ : أَنْ تَجْعَلَ لِلَّهِ نِدًّا وَهُوَ خَلَقَكَ } . وَالنِّدُّ </w:t>
      </w:r>
      <w:proofErr w:type="gramStart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>الْمِثْلُ .</w:t>
      </w:r>
      <w:proofErr w:type="gramEnd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 قَالَ </w:t>
      </w:r>
      <w:proofErr w:type="gramStart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>تَعَالَى :</w:t>
      </w:r>
      <w:proofErr w:type="gramEnd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 { فَلَا تَجْعَلُوا لِلَّهِ أَنْدَادًا وَأَنْتُمْ تَعْلَمُونَ } . وَقَالَ </w:t>
      </w:r>
      <w:proofErr w:type="gramStart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>تَعَالَى :</w:t>
      </w:r>
      <w:proofErr w:type="gramEnd"/>
      <w:r w:rsidRPr="000E5E7D">
        <w:rPr>
          <w:rFonts w:asciiTheme="majorBidi" w:hAnsiTheme="majorBidi" w:cstheme="majorBidi"/>
          <w:color w:val="000000"/>
          <w:spacing w:val="-12"/>
          <w:sz w:val="32"/>
          <w:szCs w:val="32"/>
          <w:rtl/>
          <w:lang w:val="fr-BE"/>
        </w:rPr>
        <w:t xml:space="preserve"> { وَجَعَلَ لِلَّهِ أَنْدَادًا لِيُضِلَّ عَنْ سَبِيلِهِ قُلْ تَمَتَّعْ بِكُفْرِكَ قَلِيلًا إنَّكَ مِنْ أَصْحَابِ النَّارِ } . فَمَنْ جَعَلَ لِلَّهِ نِدًّا مِنْ خَلْقِهِ فِيمَا يَسْتَحِقُّهُ عَزَّ وَجَلَّ مِنْ الْإِلَهِيَّةِ وَالرُّبُوبِيَّةِ فَقَدْ كَفَرَ بِإِجْمَاعِ الْأُمَّةِ</w:t>
      </w:r>
    </w:p>
    <w:p w:rsidR="000E5E7D" w:rsidRPr="000E5E7D" w:rsidRDefault="000E5E7D" w:rsidP="000E5E7D">
      <w:pPr>
        <w:pStyle w:val="Sansinterligne"/>
        <w:bidi/>
        <w:ind w:firstLine="708"/>
        <w:rPr>
          <w:rFonts w:asciiTheme="majorBidi" w:hAnsiTheme="majorBidi" w:cstheme="majorBidi"/>
          <w:color w:val="000000"/>
          <w:spacing w:val="-12"/>
          <w:sz w:val="32"/>
          <w:szCs w:val="32"/>
          <w:lang w:val="fr-BE"/>
        </w:rPr>
      </w:pPr>
    </w:p>
    <w:p w:rsidR="000E5E7D" w:rsidRPr="000E5E7D" w:rsidRDefault="0059256B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150A03">
        <w:rPr>
          <w:rFonts w:cs="Traditional Arabic"/>
          <w:color w:val="000000"/>
          <w:szCs w:val="24"/>
          <w:lang w:val="fr-BE"/>
        </w:rPr>
        <w:t>« </w:t>
      </w: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Sache, qu’Allah te fasse miséricorde, que le pire des péchés par lequel on désobéit à Allah c’est en donnant un associé à Allah. </w:t>
      </w:r>
    </w:p>
    <w:p w:rsidR="000E5E7D" w:rsidRPr="000E5E7D" w:rsidRDefault="000E5E7D" w:rsidP="0059256B">
      <w:pPr>
        <w:pStyle w:val="Sansinterligne"/>
        <w:ind w:firstLine="708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Pr="000E5E7D" w:rsidRDefault="0059256B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>Allah a dit « </w:t>
      </w:r>
      <w:r w:rsidRPr="000E5E7D">
        <w:rPr>
          <w:rFonts w:cs="Traditional Arabic"/>
          <w:b/>
          <w:bCs/>
          <w:color w:val="FF0000"/>
          <w:szCs w:val="24"/>
          <w:lang w:val="fr-BE"/>
        </w:rPr>
        <w:t>Certes, Allah ne pardonne pas qu’on Lui donne un associé, et Il pardonne ce qui est autre que cela à qui Il veut</w:t>
      </w: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 » et dans les deux recueils authentique il fut rapporté que le </w:t>
      </w:r>
      <w:r w:rsidR="000E5E7D" w:rsidRPr="000E5E7D">
        <w:rPr>
          <w:rFonts w:cs="Traditional Arabic"/>
          <w:b/>
          <w:bCs/>
          <w:color w:val="00B050"/>
          <w:szCs w:val="24"/>
          <w:lang w:val="fr-BE"/>
        </w:rPr>
        <w:t>P</w:t>
      </w: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rophète </w:t>
      </w:r>
      <w:r w:rsidR="000E5E7D" w:rsidRPr="000E5E7D">
        <w:rPr>
          <w:rFonts w:asciiTheme="majorBidi" w:hAnsiTheme="majorBidi" w:cstheme="majorBidi"/>
          <w:b/>
          <w:bCs/>
          <w:color w:val="00B050"/>
        </w:rPr>
        <w:t>-</w:t>
      </w:r>
      <w:r w:rsidR="000E5E7D" w:rsidRPr="000E5E7D">
        <w:rPr>
          <w:rFonts w:asciiTheme="majorBidi" w:hAnsiTheme="majorBidi" w:cstheme="majorBidi"/>
          <w:b/>
          <w:bCs/>
          <w:i/>
          <w:iCs/>
          <w:color w:val="00B050"/>
        </w:rPr>
        <w:t>sallâ l-Lahû ‘aleyhi wa sallam</w:t>
      </w:r>
      <w:r w:rsidR="000E5E7D" w:rsidRPr="000E5E7D">
        <w:rPr>
          <w:rFonts w:asciiTheme="majorBidi" w:hAnsiTheme="majorBidi" w:cstheme="majorBidi"/>
          <w:b/>
          <w:bCs/>
          <w:color w:val="00B050"/>
        </w:rPr>
        <w:t xml:space="preserve">- </w:t>
      </w: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fut interrogé au sujet du pire des péchés ? </w:t>
      </w: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Pr="000E5E7D" w:rsidRDefault="0059256B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>Il dit « </w:t>
      </w:r>
      <w:r w:rsidRPr="000E5E7D">
        <w:rPr>
          <w:rFonts w:cs="Traditional Arabic"/>
          <w:b/>
          <w:bCs/>
          <w:color w:val="0070C0"/>
          <w:szCs w:val="24"/>
          <w:lang w:val="fr-BE"/>
        </w:rPr>
        <w:t>que tu donnes un égal à Allah alors qu’Il t’a créé.</w:t>
      </w:r>
      <w:r w:rsidRPr="000E5E7D">
        <w:rPr>
          <w:rFonts w:cs="Traditional Arabic"/>
          <w:b/>
          <w:bCs/>
          <w:color w:val="00B050"/>
          <w:szCs w:val="24"/>
          <w:lang w:val="fr-BE"/>
        </w:rPr>
        <w:t> »</w:t>
      </w:r>
      <w:r w:rsidR="000E5E7D" w:rsidRPr="000E5E7D">
        <w:rPr>
          <w:rStyle w:val="Appelnotedebasdep"/>
          <w:rFonts w:cs="Traditional Arabic"/>
          <w:b/>
          <w:bCs/>
          <w:color w:val="00B050"/>
          <w:szCs w:val="24"/>
          <w:lang w:val="fr-BE"/>
        </w:rPr>
        <w:t xml:space="preserve"> </w:t>
      </w:r>
      <w:r w:rsidR="000E5E7D" w:rsidRPr="000E5E7D">
        <w:rPr>
          <w:rStyle w:val="Appelnotedebasdep"/>
          <w:rFonts w:cs="Traditional Arabic"/>
          <w:b/>
          <w:bCs/>
          <w:color w:val="00B050"/>
          <w:szCs w:val="24"/>
          <w:lang w:val="fr-BE"/>
        </w:rPr>
        <w:footnoteReference w:id="1"/>
      </w: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 </w:t>
      </w: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Pr="000E5E7D" w:rsidRDefault="0059256B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 xml:space="preserve">Et « l’égal » c'est-à-dire « le semblable » </w:t>
      </w: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>E</w:t>
      </w:r>
      <w:r w:rsidR="0059256B" w:rsidRPr="000E5E7D">
        <w:rPr>
          <w:rFonts w:cs="Traditional Arabic"/>
          <w:b/>
          <w:bCs/>
          <w:color w:val="00B050"/>
          <w:szCs w:val="24"/>
          <w:lang w:val="fr-BE"/>
        </w:rPr>
        <w:t>t Allah a dit « </w:t>
      </w:r>
      <w:r w:rsidR="0059256B" w:rsidRPr="000E5E7D">
        <w:rPr>
          <w:rFonts w:cs="Traditional Arabic"/>
          <w:b/>
          <w:bCs/>
          <w:color w:val="FF0000"/>
          <w:szCs w:val="24"/>
          <w:lang w:val="fr-BE"/>
        </w:rPr>
        <w:t>Ne donnez pas d’égaux à Allah alors que vous savez</w:t>
      </w:r>
      <w:r w:rsidR="0059256B" w:rsidRPr="000E5E7D">
        <w:rPr>
          <w:rFonts w:cs="Traditional Arabic"/>
          <w:b/>
          <w:bCs/>
          <w:color w:val="00B050"/>
          <w:szCs w:val="24"/>
          <w:lang w:val="fr-BE"/>
        </w:rPr>
        <w:t xml:space="preserve"> » </w:t>
      </w: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>E</w:t>
      </w:r>
      <w:r w:rsidR="0059256B" w:rsidRPr="000E5E7D">
        <w:rPr>
          <w:rFonts w:cs="Traditional Arabic"/>
          <w:b/>
          <w:bCs/>
          <w:color w:val="00B050"/>
          <w:szCs w:val="24"/>
          <w:lang w:val="fr-BE"/>
        </w:rPr>
        <w:t>t Allah a dit « </w:t>
      </w:r>
      <w:r w:rsidR="0059256B" w:rsidRPr="000E5E7D">
        <w:rPr>
          <w:rFonts w:cs="Traditional Arabic"/>
          <w:b/>
          <w:bCs/>
          <w:color w:val="FF0000"/>
          <w:szCs w:val="24"/>
          <w:lang w:val="fr-BE"/>
        </w:rPr>
        <w:t xml:space="preserve">Et il a donné des égaux à Allah pour égaré de Son sentier, dit « amuse toi un court instant avec ta mécréance, tu </w:t>
      </w:r>
      <w:proofErr w:type="gramStart"/>
      <w:r w:rsidR="0059256B" w:rsidRPr="000E5E7D">
        <w:rPr>
          <w:rFonts w:cs="Traditional Arabic"/>
          <w:b/>
          <w:bCs/>
          <w:color w:val="FF0000"/>
          <w:szCs w:val="24"/>
          <w:lang w:val="fr-BE"/>
        </w:rPr>
        <w:t>est</w:t>
      </w:r>
      <w:proofErr w:type="gramEnd"/>
      <w:r w:rsidR="0059256B" w:rsidRPr="000E5E7D">
        <w:rPr>
          <w:rFonts w:cs="Traditional Arabic"/>
          <w:b/>
          <w:bCs/>
          <w:color w:val="FF0000"/>
          <w:szCs w:val="24"/>
          <w:lang w:val="fr-BE"/>
        </w:rPr>
        <w:t xml:space="preserve"> certes parmi les gens du Feu</w:t>
      </w:r>
      <w:r w:rsidR="0059256B" w:rsidRPr="000E5E7D">
        <w:rPr>
          <w:rFonts w:cs="Traditional Arabic"/>
          <w:b/>
          <w:bCs/>
          <w:color w:val="00B050"/>
          <w:szCs w:val="24"/>
          <w:lang w:val="fr-BE"/>
        </w:rPr>
        <w:t xml:space="preserve"> » </w:t>
      </w:r>
    </w:p>
    <w:p w:rsidR="000E5E7D" w:rsidRPr="000E5E7D" w:rsidRDefault="000E5E7D" w:rsidP="000E5E7D">
      <w:pPr>
        <w:pStyle w:val="Sansinterligne"/>
        <w:jc w:val="both"/>
        <w:rPr>
          <w:rFonts w:cs="Traditional Arabic"/>
          <w:b/>
          <w:bCs/>
          <w:color w:val="00B050"/>
          <w:szCs w:val="24"/>
          <w:lang w:val="fr-BE"/>
        </w:rPr>
      </w:pPr>
    </w:p>
    <w:p w:rsidR="000E5E7D" w:rsidRDefault="0059256B" w:rsidP="000E5E7D">
      <w:pPr>
        <w:pStyle w:val="Sansinterligne"/>
        <w:jc w:val="both"/>
        <w:rPr>
          <w:rFonts w:cs="Traditional Arabic"/>
          <w:color w:val="000000"/>
          <w:szCs w:val="24"/>
          <w:lang w:val="fr-BE"/>
        </w:rPr>
      </w:pPr>
      <w:r w:rsidRPr="000E5E7D">
        <w:rPr>
          <w:rFonts w:cs="Traditional Arabic"/>
          <w:b/>
          <w:bCs/>
          <w:color w:val="00B050"/>
          <w:szCs w:val="24"/>
          <w:lang w:val="fr-BE"/>
        </w:rPr>
        <w:t>Et donc, celui qui place une créature à l’égale d’Allah dans ce qui n’appartient qu’à Allah, dans la Divinité ou la Seigneurie</w:t>
      </w:r>
      <w:r w:rsidRPr="000E5E7D">
        <w:rPr>
          <w:rFonts w:cs="Traditional Arabic"/>
          <w:b/>
          <w:bCs/>
          <w:color w:val="00B050"/>
          <w:szCs w:val="24"/>
          <w:u w:val="single"/>
          <w:lang w:val="fr-BE"/>
        </w:rPr>
        <w:t>, il est mécréant à l’unanimité de la communauté [musulmane].</w:t>
      </w:r>
      <w:r w:rsidRPr="00150A03">
        <w:rPr>
          <w:rFonts w:cs="Traditional Arabic"/>
          <w:color w:val="000000"/>
          <w:szCs w:val="24"/>
          <w:lang w:val="fr-BE"/>
        </w:rPr>
        <w:t> »</w:t>
      </w:r>
      <w:r w:rsidRPr="00EB6A6E">
        <w:rPr>
          <w:rFonts w:cs="Traditional Arabic"/>
          <w:color w:val="000000"/>
          <w:szCs w:val="24"/>
          <w:lang w:val="fr-BE"/>
        </w:rPr>
        <w:t xml:space="preserve"> </w:t>
      </w:r>
    </w:p>
    <w:p w:rsidR="000E5E7D" w:rsidRDefault="000E5E7D" w:rsidP="000E5E7D">
      <w:pPr>
        <w:pStyle w:val="Sansinterligne"/>
        <w:jc w:val="both"/>
        <w:rPr>
          <w:rFonts w:cs="Traditional Arabic"/>
          <w:color w:val="000000"/>
          <w:szCs w:val="24"/>
          <w:lang w:val="fr-BE"/>
        </w:rPr>
      </w:pPr>
    </w:p>
    <w:p w:rsidR="000E5E7D" w:rsidRDefault="000E5E7D" w:rsidP="000E5E7D">
      <w:pPr>
        <w:pStyle w:val="Sansinterligne"/>
        <w:jc w:val="both"/>
        <w:rPr>
          <w:rFonts w:cs="Traditional Arabic"/>
          <w:color w:val="000000"/>
          <w:szCs w:val="24"/>
          <w:lang w:val="fr-BE"/>
        </w:rPr>
      </w:pPr>
    </w:p>
    <w:p w:rsidR="0059256B" w:rsidRPr="00EB6A6E" w:rsidRDefault="000E5E7D" w:rsidP="000E5E7D">
      <w:pPr>
        <w:pStyle w:val="Sansinterligne"/>
        <w:jc w:val="both"/>
        <w:rPr>
          <w:rFonts w:cs="Traditional Arabic"/>
          <w:color w:val="000000"/>
          <w:szCs w:val="24"/>
          <w:lang w:val="fr-BE"/>
        </w:rPr>
      </w:pPr>
      <w:r w:rsidRPr="000E5E7D">
        <w:rPr>
          <w:rFonts w:cs="Traditional Arabic"/>
          <w:b/>
          <w:bCs/>
          <w:color w:val="000000"/>
          <w:szCs w:val="24"/>
          <w:u w:val="single"/>
          <w:lang w:val="fr-BE"/>
        </w:rPr>
        <w:t>Souce</w:t>
      </w:r>
      <w:r>
        <w:rPr>
          <w:rFonts w:cs="Traditional Arabic"/>
          <w:color w:val="000000"/>
          <w:szCs w:val="24"/>
          <w:lang w:val="fr-BE"/>
        </w:rPr>
        <w:t xml:space="preserve"> : </w:t>
      </w:r>
      <w:r w:rsidR="0059256B" w:rsidRPr="00EB6A6E">
        <w:rPr>
          <w:rFonts w:cs="Traditional Arabic"/>
          <w:color w:val="000000"/>
          <w:szCs w:val="24"/>
          <w:lang w:val="fr-BE"/>
        </w:rPr>
        <w:t>Majmoû‘ Al Fatâwâ</w:t>
      </w:r>
      <w:r>
        <w:rPr>
          <w:rFonts w:cs="Traditional Arabic"/>
          <w:color w:val="000000"/>
          <w:szCs w:val="24"/>
          <w:lang w:val="fr-BE"/>
        </w:rPr>
        <w:t>, tome</w:t>
      </w:r>
      <w:r w:rsidR="0059256B" w:rsidRPr="00EB6A6E">
        <w:rPr>
          <w:rFonts w:cs="Traditional Arabic"/>
          <w:color w:val="000000"/>
          <w:szCs w:val="24"/>
          <w:lang w:val="fr-BE"/>
        </w:rPr>
        <w:t xml:space="preserve"> 1</w:t>
      </w:r>
      <w:r>
        <w:rPr>
          <w:rFonts w:cs="Traditional Arabic"/>
          <w:color w:val="000000"/>
          <w:szCs w:val="24"/>
          <w:lang w:val="fr-BE"/>
        </w:rPr>
        <w:t xml:space="preserve">, page </w:t>
      </w:r>
      <w:r w:rsidR="0059256B" w:rsidRPr="00EB6A6E">
        <w:rPr>
          <w:rFonts w:cs="Traditional Arabic"/>
          <w:color w:val="000000"/>
          <w:szCs w:val="24"/>
          <w:lang w:val="fr-BE"/>
        </w:rPr>
        <w:t>88</w:t>
      </w:r>
      <w:r>
        <w:rPr>
          <w:rFonts w:cs="Traditional Arabic"/>
          <w:color w:val="000000"/>
          <w:szCs w:val="24"/>
          <w:lang w:val="fr-BE"/>
        </w:rPr>
        <w:t>.</w:t>
      </w:r>
    </w:p>
    <w:p w:rsidR="00704369" w:rsidRDefault="00704369"/>
    <w:sectPr w:rsidR="00704369" w:rsidSect="00150A03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53" w:rsidRDefault="00BD3353" w:rsidP="0059256B">
      <w:r>
        <w:separator/>
      </w:r>
    </w:p>
  </w:endnote>
  <w:endnote w:type="continuationSeparator" w:id="0">
    <w:p w:rsidR="00BD3353" w:rsidRDefault="00BD3353" w:rsidP="0059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848272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720145" w:rsidRPr="00813800" w:rsidRDefault="00720145" w:rsidP="00720145">
        <w:pPr>
          <w:pStyle w:val="Pieddepage"/>
          <w:jc w:val="right"/>
          <w:rPr>
            <w:rFonts w:asciiTheme="majorBidi" w:hAnsiTheme="majorBidi" w:cstheme="majorBidi"/>
          </w:rPr>
        </w:pPr>
        <w:r w:rsidRPr="00813800">
          <w:rPr>
            <w:rFonts w:asciiTheme="majorBidi" w:hAnsiTheme="majorBidi" w:cstheme="majorBidi"/>
            <w:b/>
            <w:bCs/>
          </w:rPr>
          <w:fldChar w:fldCharType="begin"/>
        </w:r>
        <w:r w:rsidRPr="0081380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813800">
          <w:rPr>
            <w:rFonts w:asciiTheme="majorBidi" w:hAnsiTheme="majorBidi" w:cstheme="majorBidi"/>
            <w:b/>
            <w:bCs/>
          </w:rPr>
          <w:fldChar w:fldCharType="separate"/>
        </w:r>
        <w:r w:rsidR="000E5E7D">
          <w:rPr>
            <w:rFonts w:asciiTheme="majorBidi" w:hAnsiTheme="majorBidi" w:cstheme="majorBidi"/>
            <w:b/>
            <w:bCs/>
            <w:noProof/>
          </w:rPr>
          <w:t>1</w:t>
        </w:r>
        <w:r w:rsidRPr="00813800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sdt>
    <w:sdtPr>
      <w:rPr>
        <w:rFonts w:asciiTheme="majorBidi" w:hAnsiTheme="majorBidi" w:cstheme="majorBidi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720145" w:rsidRPr="00813800" w:rsidRDefault="00720145" w:rsidP="00720145">
        <w:pPr>
          <w:pStyle w:val="Pieddepage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hyperlink r:id="rId1" w:history="1">
          <w:r w:rsidRPr="00813800">
            <w:rPr>
              <w:rStyle w:val="Lienhypertexte"/>
              <w:rFonts w:asciiTheme="majorBidi" w:eastAsiaTheme="majorEastAsia" w:hAnsiTheme="majorBidi" w:cstheme="majorBidi"/>
              <w:b/>
              <w:bCs/>
              <w:sz w:val="28"/>
              <w:szCs w:val="28"/>
            </w:rPr>
            <w:t>http://bibliotheque-islamique-coran-sunna.over-blog.com/</w:t>
          </w:r>
          <w:r w:rsidRPr="00813800">
            <w:rPr>
              <w:rStyle w:val="Lienhypertexte"/>
              <w:rFonts w:asciiTheme="majorBidi" w:eastAsiaTheme="majorEastAsia" w:hAnsiTheme="majorBidi" w:cstheme="majorBidi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720145" w:rsidRDefault="007201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53" w:rsidRDefault="00BD3353" w:rsidP="0059256B">
      <w:r>
        <w:separator/>
      </w:r>
    </w:p>
  </w:footnote>
  <w:footnote w:type="continuationSeparator" w:id="0">
    <w:p w:rsidR="00BD3353" w:rsidRDefault="00BD3353" w:rsidP="0059256B">
      <w:r>
        <w:continuationSeparator/>
      </w:r>
    </w:p>
  </w:footnote>
  <w:footnote w:id="1">
    <w:p w:rsidR="000E5E7D" w:rsidRPr="000E5E7D" w:rsidRDefault="000E5E7D" w:rsidP="000E5E7D">
      <w:pPr>
        <w:pStyle w:val="Sansinterligne"/>
        <w:jc w:val="both"/>
        <w:rPr>
          <w:rFonts w:cs="Traditional Arabic"/>
          <w:color w:val="000000"/>
          <w:sz w:val="20"/>
          <w:szCs w:val="20"/>
        </w:rPr>
      </w:pPr>
      <w:r w:rsidRPr="000E5E7D">
        <w:rPr>
          <w:rStyle w:val="Appelnotedebasdep"/>
          <w:sz w:val="20"/>
          <w:szCs w:val="20"/>
        </w:rPr>
        <w:footnoteRef/>
      </w:r>
      <w:r w:rsidRPr="000E5E7D">
        <w:rPr>
          <w:sz w:val="20"/>
          <w:szCs w:val="20"/>
        </w:rPr>
        <w:t xml:space="preserve"> </w:t>
      </w:r>
      <w:r w:rsidRPr="000E5E7D">
        <w:rPr>
          <w:rFonts w:cs="Traditional Arabic"/>
          <w:color w:val="000000"/>
          <w:sz w:val="20"/>
          <w:szCs w:val="20"/>
        </w:rPr>
        <w:t>Rapporté par Al Boukhârî et Mouslim.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256B"/>
    <w:rsid w:val="00027B22"/>
    <w:rsid w:val="00044B3B"/>
    <w:rsid w:val="000C0174"/>
    <w:rsid w:val="000E5E7D"/>
    <w:rsid w:val="001044C0"/>
    <w:rsid w:val="00107DEC"/>
    <w:rsid w:val="00150A03"/>
    <w:rsid w:val="00152159"/>
    <w:rsid w:val="00155319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9256B"/>
    <w:rsid w:val="005C627F"/>
    <w:rsid w:val="005D4304"/>
    <w:rsid w:val="005F2C01"/>
    <w:rsid w:val="00610866"/>
    <w:rsid w:val="00616207"/>
    <w:rsid w:val="0067161B"/>
    <w:rsid w:val="00702CE1"/>
    <w:rsid w:val="00704369"/>
    <w:rsid w:val="00720145"/>
    <w:rsid w:val="00741238"/>
    <w:rsid w:val="00762C54"/>
    <w:rsid w:val="00764046"/>
    <w:rsid w:val="00797149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3353"/>
    <w:rsid w:val="00BD7CC8"/>
    <w:rsid w:val="00C53C52"/>
    <w:rsid w:val="00C56B86"/>
    <w:rsid w:val="00CD4EBD"/>
    <w:rsid w:val="00D15EBD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0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9256B"/>
    <w:rPr>
      <w:rFonts w:eastAsiaTheme="minorHAnsi" w:cstheme="minorBidi"/>
      <w:sz w:val="24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5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56B"/>
  </w:style>
  <w:style w:type="character" w:styleId="Appelnotedebasdep">
    <w:name w:val="footnote reference"/>
    <w:basedOn w:val="Policepardfaut"/>
    <w:uiPriority w:val="99"/>
    <w:semiHidden/>
    <w:unhideWhenUsed/>
    <w:rsid w:val="0059256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720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01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20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145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20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084B-63D7-405A-AD80-E45226D5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2011-06-24T04:54:00Z</cp:lastPrinted>
  <dcterms:created xsi:type="dcterms:W3CDTF">2011-06-24T02:08:00Z</dcterms:created>
  <dcterms:modified xsi:type="dcterms:W3CDTF">2011-06-24T04:54:00Z</dcterms:modified>
</cp:coreProperties>
</file>