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Default="00773FD5" w:rsidP="00773FD5"/>
    <w:p w:rsidR="00773FD5" w:rsidRPr="00CE66F6" w:rsidRDefault="00773FD5" w:rsidP="00773FD5">
      <w:pPr>
        <w:rPr>
          <w:rFonts w:asciiTheme="majorBidi" w:hAnsiTheme="majorBidi" w:cstheme="majorBidi"/>
        </w:rPr>
      </w:pPr>
    </w:p>
    <w:p w:rsidR="00773FD5" w:rsidRDefault="00370DFC" w:rsidP="00773FD5">
      <w:pPr>
        <w:jc w:val="right"/>
        <w:rPr>
          <w:color w:val="7F7F7F"/>
          <w:sz w:val="32"/>
          <w:szCs w:val="32"/>
        </w:rPr>
      </w:pPr>
      <w:r w:rsidRPr="00370DFC">
        <w:rPr>
          <w:noProof/>
          <w:color w:val="C4BC96"/>
          <w:sz w:val="32"/>
          <w:szCs w:val="32"/>
          <w:lang w:eastAsia="en-US"/>
        </w:rPr>
        <w:pict>
          <v:group id="_x0000_s1026" style="position:absolute;left:0;text-align:left;margin-left:0;margin-top:0;width:610.2pt;height:790.2pt;z-index:-251659264;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773FD5" w:rsidRPr="00D10DD1" w:rsidTr="00E25203">
        <w:tc>
          <w:tcPr>
            <w:tcW w:w="9576" w:type="dxa"/>
          </w:tcPr>
          <w:p w:rsidR="00773FD5" w:rsidRDefault="00773FD5" w:rsidP="00E25203">
            <w:pPr>
              <w:jc w:val="center"/>
              <w:rPr>
                <w:rFonts w:asciiTheme="majorBidi" w:hAnsiTheme="majorBidi" w:cstheme="majorBidi"/>
                <w:b/>
                <w:bCs/>
                <w:i/>
                <w:iCs/>
                <w:color w:val="FFFFFF" w:themeColor="background1"/>
                <w:sz w:val="32"/>
                <w:szCs w:val="32"/>
              </w:rPr>
            </w:pPr>
          </w:p>
          <w:p w:rsidR="00773FD5" w:rsidRDefault="00773FD5" w:rsidP="00E25203">
            <w:pPr>
              <w:jc w:val="center"/>
              <w:rPr>
                <w:rFonts w:asciiTheme="majorBidi" w:hAnsiTheme="majorBidi" w:cstheme="majorBidi"/>
                <w:b/>
                <w:bCs/>
                <w:i/>
                <w:iCs/>
                <w:color w:val="FFFFFF" w:themeColor="background1"/>
                <w:sz w:val="32"/>
                <w:szCs w:val="32"/>
              </w:rPr>
            </w:pPr>
          </w:p>
          <w:p w:rsidR="00773FD5" w:rsidRPr="00254F23" w:rsidRDefault="00773FD5" w:rsidP="00254F23">
            <w:pPr>
              <w:jc w:val="center"/>
              <w:rPr>
                <w:rFonts w:asciiTheme="majorBidi" w:hAnsiTheme="majorBidi" w:cstheme="majorBidi"/>
                <w:b/>
                <w:bCs/>
                <w:i/>
                <w:iCs/>
                <w:color w:val="FFFFFF" w:themeColor="background1"/>
                <w:sz w:val="32"/>
                <w:szCs w:val="32"/>
              </w:rPr>
            </w:pPr>
            <w:r w:rsidRPr="00254F23">
              <w:rPr>
                <w:rFonts w:asciiTheme="majorBidi" w:hAnsiTheme="majorBidi" w:cstheme="majorBidi"/>
                <w:b/>
                <w:bCs/>
                <w:i/>
                <w:iCs/>
                <w:color w:val="FFFFFF" w:themeColor="background1"/>
                <w:sz w:val="32"/>
                <w:szCs w:val="32"/>
              </w:rPr>
              <w:t xml:space="preserve">Par l’Imâm Ibn </w:t>
            </w:r>
            <w:r w:rsidR="00254F23" w:rsidRPr="00254F23">
              <w:rPr>
                <w:rFonts w:asciiTheme="majorBidi" w:hAnsiTheme="majorBidi" w:cstheme="majorBidi"/>
                <w:b/>
                <w:bCs/>
                <w:i/>
                <w:iCs/>
                <w:color w:val="FFFFFF" w:themeColor="background1"/>
                <w:sz w:val="32"/>
                <w:szCs w:val="32"/>
              </w:rPr>
              <w:t>Al-Qayy</w:t>
            </w:r>
            <w:r w:rsidR="00254F23">
              <w:rPr>
                <w:rFonts w:asciiTheme="majorBidi" w:hAnsiTheme="majorBidi" w:cstheme="majorBidi"/>
                <w:b/>
                <w:bCs/>
                <w:i/>
                <w:iCs/>
                <w:color w:val="FFFFFF" w:themeColor="background1"/>
                <w:sz w:val="32"/>
                <w:szCs w:val="32"/>
              </w:rPr>
              <w:t>îm</w:t>
            </w:r>
          </w:p>
        </w:tc>
      </w:tr>
    </w:tbl>
    <w:p w:rsidR="00773FD5" w:rsidRPr="00254F23" w:rsidRDefault="00773FD5" w:rsidP="00773FD5">
      <w:pPr>
        <w:jc w:val="right"/>
        <w:rPr>
          <w:color w:val="7F7F7F"/>
          <w:sz w:val="32"/>
          <w:szCs w:val="32"/>
        </w:rPr>
      </w:pPr>
    </w:p>
    <w:p w:rsidR="00773FD5" w:rsidRPr="00254F23" w:rsidRDefault="00370DFC" w:rsidP="00773FD5">
      <w:r w:rsidRPr="00370DFC">
        <w:rPr>
          <w:noProof/>
          <w:color w:val="C4BC96"/>
          <w:sz w:val="32"/>
          <w:szCs w:val="32"/>
          <w:lang w:eastAsia="en-US"/>
        </w:rPr>
        <w:pict>
          <v:rect id="_x0000_s1029"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9"/>
                  </w:tblGrid>
                  <w:tr w:rsidR="00773FD5" w:rsidRPr="00344919" w:rsidTr="00855F53">
                    <w:trPr>
                      <w:trHeight w:val="1080"/>
                    </w:trPr>
                    <w:tc>
                      <w:tcPr>
                        <w:tcW w:w="1000" w:type="pct"/>
                        <w:shd w:val="clear" w:color="auto" w:fill="000000"/>
                        <w:vAlign w:val="center"/>
                      </w:tcPr>
                      <w:p w:rsidR="00773FD5" w:rsidRPr="00344919" w:rsidRDefault="00773FD5" w:rsidP="00CB7712">
                        <w:pPr>
                          <w:jc w:val="center"/>
                          <w:rPr>
                            <w:smallCaps/>
                            <w:sz w:val="48"/>
                            <w:szCs w:val="48"/>
                          </w:rPr>
                        </w:pPr>
                        <w:r w:rsidRPr="00344919">
                          <w:rPr>
                            <w:smallCaps/>
                            <w:noProof/>
                            <w:sz w:val="48"/>
                            <w:szCs w:val="48"/>
                          </w:rPr>
                          <w:drawing>
                            <wp:inline distT="0" distB="0" distL="0" distR="0">
                              <wp:extent cx="1275080" cy="958215"/>
                              <wp:effectExtent l="19050" t="0" r="1270" b="0"/>
                              <wp:docPr id="4"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7"/>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773FD5" w:rsidRPr="00773FD5" w:rsidRDefault="00B57AB6" w:rsidP="00B57AB6">
                        <w:pPr>
                          <w:pStyle w:val="Sansinterligne"/>
                          <w:rPr>
                            <w:b/>
                            <w:bCs/>
                            <w:color w:val="FFFFFF" w:themeColor="background1"/>
                            <w:sz w:val="56"/>
                            <w:szCs w:val="56"/>
                          </w:rPr>
                        </w:pPr>
                        <w:r>
                          <w:rPr>
                            <w:b/>
                            <w:bCs/>
                            <w:color w:val="FFFFFF" w:themeColor="background1"/>
                            <w:sz w:val="56"/>
                            <w:szCs w:val="56"/>
                          </w:rPr>
                          <w:t>La mécréance [Al-Koûffr]</w:t>
                        </w:r>
                      </w:p>
                    </w:tc>
                  </w:tr>
                </w:tbl>
                <w:p w:rsidR="00773FD5" w:rsidRPr="00344919" w:rsidRDefault="00773FD5" w:rsidP="00773FD5">
                  <w:pPr>
                    <w:pStyle w:val="Sansinterligne"/>
                    <w:spacing w:line="14" w:lineRule="exact"/>
                    <w:rPr>
                      <w:sz w:val="48"/>
                      <w:szCs w:val="48"/>
                    </w:rPr>
                  </w:pPr>
                </w:p>
              </w:txbxContent>
            </v:textbox>
            <w10:wrap anchorx="page" anchory="page"/>
          </v:rect>
        </w:pict>
      </w:r>
      <w:r w:rsidR="00773FD5" w:rsidRPr="00254F23">
        <w:br w:type="page"/>
      </w:r>
    </w:p>
    <w:p w:rsidR="00773FD5" w:rsidRDefault="00254F23" w:rsidP="00254F23">
      <w:pPr>
        <w:pStyle w:val="Sansinterligne"/>
        <w:ind w:firstLine="708"/>
        <w:jc w:val="center"/>
        <w:rPr>
          <w:rFonts w:eastAsia="Calibri" w:cs="Traditional Arabic"/>
          <w:color w:val="000000"/>
          <w:szCs w:val="24"/>
        </w:rPr>
      </w:pPr>
      <w:r>
        <w:rPr>
          <w:rFonts w:eastAsia="Calibri" w:cs="Traditional Arabic"/>
          <w:noProof/>
          <w:color w:val="000000"/>
          <w:szCs w:val="24"/>
          <w:lang w:eastAsia="fr-FR"/>
        </w:rPr>
        <w:lastRenderedPageBreak/>
        <w:drawing>
          <wp:inline distT="0" distB="0" distL="0" distR="0">
            <wp:extent cx="2533650" cy="2667000"/>
            <wp:effectExtent l="19050" t="0" r="0" b="0"/>
            <wp:docPr id="1" name="Image 0" descr="bismi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jpg"/>
                    <pic:cNvPicPr/>
                  </pic:nvPicPr>
                  <pic:blipFill>
                    <a:blip r:embed="rId8" cstate="print"/>
                    <a:stretch>
                      <a:fillRect/>
                    </a:stretch>
                  </pic:blipFill>
                  <pic:spPr>
                    <a:xfrm>
                      <a:off x="0" y="0"/>
                      <a:ext cx="2533650" cy="2667000"/>
                    </a:xfrm>
                    <a:prstGeom prst="rect">
                      <a:avLst/>
                    </a:prstGeom>
                  </pic:spPr>
                </pic:pic>
              </a:graphicData>
            </a:graphic>
          </wp:inline>
        </w:drawing>
      </w:r>
    </w:p>
    <w:p w:rsidR="00254F23" w:rsidRDefault="00254F23" w:rsidP="00B20CC9">
      <w:pPr>
        <w:pStyle w:val="Sansinterligne"/>
        <w:ind w:firstLine="708"/>
        <w:jc w:val="both"/>
        <w:rPr>
          <w:rFonts w:eastAsia="Calibri" w:cs="Traditional Arabic"/>
          <w:color w:val="000000"/>
          <w:szCs w:val="24"/>
        </w:rPr>
      </w:pPr>
    </w:p>
    <w:p w:rsidR="00B20CC9" w:rsidRPr="00254F23" w:rsidRDefault="00B20CC9" w:rsidP="00254F23">
      <w:pPr>
        <w:pStyle w:val="Sansinterligne"/>
        <w:rPr>
          <w:rFonts w:asciiTheme="majorBidi" w:hAnsiTheme="majorBidi" w:cstheme="majorBidi"/>
          <w:szCs w:val="24"/>
        </w:rPr>
      </w:pPr>
      <w:r w:rsidRPr="00254F23">
        <w:rPr>
          <w:rFonts w:asciiTheme="majorBidi" w:hAnsiTheme="majorBidi" w:cstheme="majorBidi"/>
          <w:szCs w:val="24"/>
        </w:rPr>
        <w:t xml:space="preserve">Ibn Al </w:t>
      </w:r>
      <w:proofErr w:type="spellStart"/>
      <w:r w:rsidRPr="00254F23">
        <w:rPr>
          <w:rFonts w:asciiTheme="majorBidi" w:hAnsiTheme="majorBidi" w:cstheme="majorBidi"/>
          <w:szCs w:val="24"/>
        </w:rPr>
        <w:t>Qayyim</w:t>
      </w:r>
      <w:proofErr w:type="spellEnd"/>
      <w:r w:rsidRPr="00254F23">
        <w:rPr>
          <w:rFonts w:asciiTheme="majorBidi" w:hAnsiTheme="majorBidi" w:cstheme="majorBidi"/>
          <w:szCs w:val="24"/>
        </w:rPr>
        <w:t xml:space="preserve"> </w:t>
      </w:r>
      <w:r w:rsidR="00254F23" w:rsidRPr="00F375EC">
        <w:rPr>
          <w:color w:val="000000"/>
        </w:rPr>
        <w:t>-</w:t>
      </w:r>
      <w:r w:rsidR="00254F23" w:rsidRPr="00F375EC">
        <w:rPr>
          <w:i/>
          <w:iCs/>
          <w:color w:val="000000"/>
        </w:rPr>
        <w:t>qu’All</w:t>
      </w:r>
      <w:r w:rsidR="00254F23">
        <w:rPr>
          <w:i/>
          <w:iCs/>
          <w:color w:val="000000"/>
        </w:rPr>
        <w:t>â</w:t>
      </w:r>
      <w:r w:rsidR="00254F23" w:rsidRPr="00F375EC">
        <w:rPr>
          <w:i/>
          <w:iCs/>
          <w:color w:val="000000"/>
        </w:rPr>
        <w:t>h lui fasse Miséricorde</w:t>
      </w:r>
      <w:r w:rsidR="00254F23" w:rsidRPr="00F375EC">
        <w:rPr>
          <w:color w:val="000000"/>
        </w:rPr>
        <w:t>-</w:t>
      </w:r>
      <w:r w:rsidR="00254F23">
        <w:rPr>
          <w:color w:val="000000"/>
        </w:rPr>
        <w:t xml:space="preserve"> </w:t>
      </w:r>
      <w:r w:rsidRPr="00254F23">
        <w:rPr>
          <w:rFonts w:asciiTheme="majorBidi" w:hAnsiTheme="majorBidi" w:cstheme="majorBidi"/>
          <w:szCs w:val="24"/>
        </w:rPr>
        <w:t>a dit :</w:t>
      </w:r>
    </w:p>
    <w:p w:rsidR="00773FD5" w:rsidRPr="00254F23" w:rsidRDefault="00773FD5" w:rsidP="00254F23">
      <w:pPr>
        <w:pStyle w:val="Sansinterligne"/>
        <w:rPr>
          <w:rFonts w:asciiTheme="majorBidi" w:hAnsiTheme="majorBidi" w:cstheme="majorBidi"/>
          <w:szCs w:val="24"/>
        </w:rPr>
      </w:pPr>
    </w:p>
    <w:p w:rsidR="00B20CC9" w:rsidRPr="00254F23" w:rsidRDefault="00B20CC9" w:rsidP="00254F23">
      <w:pPr>
        <w:pStyle w:val="Sansinterligne"/>
        <w:bidi/>
        <w:rPr>
          <w:rFonts w:asciiTheme="majorBidi" w:hAnsiTheme="majorBidi" w:cstheme="majorBidi"/>
          <w:sz w:val="32"/>
          <w:szCs w:val="32"/>
          <w:lang w:val="fr-BE"/>
        </w:rPr>
      </w:pPr>
      <w:r w:rsidRPr="00254F23">
        <w:rPr>
          <w:rFonts w:asciiTheme="majorBidi" w:hAnsiTheme="majorBidi" w:cstheme="majorBidi"/>
          <w:sz w:val="32"/>
          <w:szCs w:val="32"/>
          <w:rtl/>
          <w:lang w:val="fr-BE"/>
        </w:rPr>
        <w:t xml:space="preserve">وكذلك الكفر </w:t>
      </w:r>
      <w:proofErr w:type="gramStart"/>
      <w:r w:rsidRPr="00254F23">
        <w:rPr>
          <w:rFonts w:asciiTheme="majorBidi" w:hAnsiTheme="majorBidi" w:cstheme="majorBidi"/>
          <w:sz w:val="32"/>
          <w:szCs w:val="32"/>
          <w:rtl/>
          <w:lang w:val="fr-BE"/>
        </w:rPr>
        <w:t>ذو</w:t>
      </w:r>
      <w:proofErr w:type="gramEnd"/>
      <w:r w:rsidRPr="00254F23">
        <w:rPr>
          <w:rFonts w:asciiTheme="majorBidi" w:hAnsiTheme="majorBidi" w:cstheme="majorBidi"/>
          <w:sz w:val="32"/>
          <w:szCs w:val="32"/>
          <w:rtl/>
          <w:lang w:val="fr-BE"/>
        </w:rPr>
        <w:t xml:space="preserve"> أصل وشعب. فكما أن شعب الإيمان إيمان فشعب الكفر كفر, والحياء شعبة من الإيمان, وقلة الحياء شعبة من شعب الكفر, والصدق شعبة من شعب الإيمان والكذب شعبة من شعب الكفر, والصلاة والزكاة والحج والصيام من شعب الإيمان, وتركها من شعب الكفر, والحكم بما</w:t>
      </w:r>
      <w:r w:rsidRPr="00254F23">
        <w:rPr>
          <w:rFonts w:asciiTheme="majorBidi" w:hAnsiTheme="majorBidi" w:cstheme="majorBidi"/>
          <w:sz w:val="32"/>
          <w:szCs w:val="32"/>
          <w:cs/>
          <w:lang w:val="fr-BE"/>
        </w:rPr>
        <w:t>‎</w:t>
      </w:r>
      <w:r w:rsidRPr="00254F23">
        <w:rPr>
          <w:rFonts w:asciiTheme="majorBidi" w:hAnsiTheme="majorBidi" w:cstheme="majorBidi"/>
          <w:sz w:val="32"/>
          <w:szCs w:val="32"/>
          <w:rtl/>
          <w:lang w:val="fr-BE"/>
        </w:rPr>
        <w:t xml:space="preserve"> أنزل الله من شعب الإيمان والحكم بغير ما أنزل الله من شعب الكفر, والمعاصي كلها من شعب الكفر كما أن الطاعات كلها من شعب الإيمان. وشعب الإيمان قسمان: </w:t>
      </w:r>
      <w:proofErr w:type="spellStart"/>
      <w:r w:rsidRPr="00254F23">
        <w:rPr>
          <w:rFonts w:asciiTheme="majorBidi" w:hAnsiTheme="majorBidi" w:cstheme="majorBidi"/>
          <w:sz w:val="32"/>
          <w:szCs w:val="32"/>
          <w:rtl/>
          <w:lang w:val="fr-BE"/>
        </w:rPr>
        <w:t>قولية</w:t>
      </w:r>
      <w:proofErr w:type="spellEnd"/>
      <w:r w:rsidRPr="00254F23">
        <w:rPr>
          <w:rFonts w:asciiTheme="majorBidi" w:hAnsiTheme="majorBidi" w:cstheme="majorBidi"/>
          <w:sz w:val="32"/>
          <w:szCs w:val="32"/>
          <w:rtl/>
          <w:lang w:val="fr-BE"/>
        </w:rPr>
        <w:t xml:space="preserve"> وفعلية. وكذلك شعب الكفر نوعان: </w:t>
      </w:r>
      <w:proofErr w:type="spellStart"/>
      <w:r w:rsidRPr="00254F23">
        <w:rPr>
          <w:rFonts w:asciiTheme="majorBidi" w:hAnsiTheme="majorBidi" w:cstheme="majorBidi"/>
          <w:sz w:val="32"/>
          <w:szCs w:val="32"/>
          <w:rtl/>
          <w:lang w:val="fr-BE"/>
        </w:rPr>
        <w:t>قولية</w:t>
      </w:r>
      <w:proofErr w:type="spellEnd"/>
      <w:r w:rsidRPr="00254F23">
        <w:rPr>
          <w:rFonts w:asciiTheme="majorBidi" w:hAnsiTheme="majorBidi" w:cstheme="majorBidi"/>
          <w:sz w:val="32"/>
          <w:szCs w:val="32"/>
          <w:rtl/>
          <w:lang w:val="fr-BE"/>
        </w:rPr>
        <w:t xml:space="preserve"> وفعلية. ومن شعب الإيمان </w:t>
      </w:r>
      <w:proofErr w:type="spellStart"/>
      <w:r w:rsidRPr="00254F23">
        <w:rPr>
          <w:rFonts w:asciiTheme="majorBidi" w:hAnsiTheme="majorBidi" w:cstheme="majorBidi"/>
          <w:sz w:val="32"/>
          <w:szCs w:val="32"/>
          <w:rtl/>
          <w:lang w:val="fr-BE"/>
        </w:rPr>
        <w:t>القولية</w:t>
      </w:r>
      <w:proofErr w:type="spellEnd"/>
      <w:r w:rsidRPr="00254F23">
        <w:rPr>
          <w:rFonts w:asciiTheme="majorBidi" w:hAnsiTheme="majorBidi" w:cstheme="majorBidi"/>
          <w:sz w:val="32"/>
          <w:szCs w:val="32"/>
          <w:rtl/>
          <w:lang w:val="fr-BE"/>
        </w:rPr>
        <w:t xml:space="preserve"> شعبة يوجب زوالها زوال الإيمان, فكذلك من شعبه الفعلية ما يوجب زوالها زوال الإيمان وكذلك شعب الكفر </w:t>
      </w:r>
      <w:proofErr w:type="spellStart"/>
      <w:r w:rsidRPr="00254F23">
        <w:rPr>
          <w:rFonts w:asciiTheme="majorBidi" w:hAnsiTheme="majorBidi" w:cstheme="majorBidi"/>
          <w:sz w:val="32"/>
          <w:szCs w:val="32"/>
          <w:rtl/>
          <w:lang w:val="fr-BE"/>
        </w:rPr>
        <w:t>القولية</w:t>
      </w:r>
      <w:proofErr w:type="spellEnd"/>
      <w:r w:rsidRPr="00254F23">
        <w:rPr>
          <w:rFonts w:asciiTheme="majorBidi" w:hAnsiTheme="majorBidi" w:cstheme="majorBidi"/>
          <w:sz w:val="32"/>
          <w:szCs w:val="32"/>
          <w:rtl/>
          <w:lang w:val="fr-BE"/>
        </w:rPr>
        <w:t xml:space="preserve"> والفعلية. </w:t>
      </w:r>
      <w:proofErr w:type="gramStart"/>
      <w:r w:rsidRPr="00254F23">
        <w:rPr>
          <w:rFonts w:asciiTheme="majorBidi" w:hAnsiTheme="majorBidi" w:cstheme="majorBidi"/>
          <w:sz w:val="32"/>
          <w:szCs w:val="32"/>
          <w:rtl/>
          <w:lang w:val="fr-BE"/>
        </w:rPr>
        <w:t>فكما</w:t>
      </w:r>
      <w:proofErr w:type="gramEnd"/>
      <w:r w:rsidRPr="00254F23">
        <w:rPr>
          <w:rFonts w:asciiTheme="majorBidi" w:hAnsiTheme="majorBidi" w:cstheme="majorBidi"/>
          <w:sz w:val="32"/>
          <w:szCs w:val="32"/>
          <w:rtl/>
          <w:lang w:val="fr-BE"/>
        </w:rPr>
        <w:t xml:space="preserve"> يكفر بالإتيان بكلمة الكفر اختيارا وهي شعبة من شعب الكفر فكذلك يكفر بفعل شعبة من شعبه كالسجود للصنم والاستهانة بالمصحف فهذا أصل</w:t>
      </w:r>
    </w:p>
    <w:p w:rsidR="00254F23" w:rsidRDefault="00254F23" w:rsidP="00254F23">
      <w:pPr>
        <w:pStyle w:val="Sansinterligne"/>
        <w:rPr>
          <w:rFonts w:asciiTheme="majorBidi" w:hAnsiTheme="majorBidi" w:cstheme="majorBidi"/>
          <w:szCs w:val="24"/>
        </w:rPr>
      </w:pPr>
    </w:p>
    <w:p w:rsidR="00254F23" w:rsidRPr="00254F23" w:rsidRDefault="00B20CC9" w:rsidP="00254F23">
      <w:pPr>
        <w:pStyle w:val="Sansinterligne"/>
        <w:rPr>
          <w:rFonts w:asciiTheme="majorBidi" w:hAnsiTheme="majorBidi" w:cstheme="majorBidi"/>
          <w:b/>
          <w:bCs/>
          <w:color w:val="00B050"/>
          <w:szCs w:val="24"/>
        </w:rPr>
      </w:pPr>
      <w:r w:rsidRPr="00254F23">
        <w:rPr>
          <w:rFonts w:asciiTheme="majorBidi" w:hAnsiTheme="majorBidi" w:cstheme="majorBidi"/>
          <w:szCs w:val="24"/>
        </w:rPr>
        <w:t>« </w:t>
      </w:r>
      <w:r w:rsidRPr="00254F23">
        <w:rPr>
          <w:rFonts w:asciiTheme="majorBidi" w:hAnsiTheme="majorBidi" w:cstheme="majorBidi"/>
          <w:b/>
          <w:bCs/>
          <w:color w:val="00B050"/>
          <w:szCs w:val="24"/>
        </w:rPr>
        <w:t xml:space="preserve">Et ainsi; la mécréance possède une racine et des branches ; et de la même manière que les branches de la Foi sont de la Foi ; eh bien les branches de la mécréances sont de la mécréance.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B20CC9" w:rsidP="00254F23">
      <w:pPr>
        <w:pStyle w:val="Sansinterligne"/>
        <w:numPr>
          <w:ilvl w:val="0"/>
          <w:numId w:val="2"/>
        </w:numPr>
        <w:rPr>
          <w:rFonts w:asciiTheme="majorBidi" w:hAnsiTheme="majorBidi" w:cstheme="majorBidi"/>
          <w:b/>
          <w:bCs/>
          <w:color w:val="00B050"/>
          <w:szCs w:val="24"/>
        </w:rPr>
      </w:pPr>
      <w:r w:rsidRPr="00254F23">
        <w:rPr>
          <w:rFonts w:asciiTheme="majorBidi" w:hAnsiTheme="majorBidi" w:cstheme="majorBidi"/>
          <w:b/>
          <w:bCs/>
          <w:color w:val="00B050"/>
          <w:szCs w:val="24"/>
        </w:rPr>
        <w:t xml:space="preserve">La pudeur est une branche de la Foi, le manque de pudeur est donc une branche de la mécréance ;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254F23" w:rsidP="00254F23">
      <w:pPr>
        <w:pStyle w:val="Sansinterligne"/>
        <w:numPr>
          <w:ilvl w:val="0"/>
          <w:numId w:val="2"/>
        </w:numPr>
        <w:rPr>
          <w:rFonts w:asciiTheme="majorBidi" w:hAnsiTheme="majorBidi" w:cstheme="majorBidi"/>
          <w:b/>
          <w:bCs/>
          <w:color w:val="00B050"/>
          <w:szCs w:val="24"/>
        </w:rPr>
      </w:pPr>
      <w:r w:rsidRPr="00254F23">
        <w:rPr>
          <w:rFonts w:asciiTheme="majorBidi" w:hAnsiTheme="majorBidi" w:cstheme="majorBidi"/>
          <w:b/>
          <w:bCs/>
          <w:color w:val="00B050"/>
          <w:szCs w:val="24"/>
        </w:rPr>
        <w:t>L</w:t>
      </w:r>
      <w:r w:rsidR="00B20CC9" w:rsidRPr="00254F23">
        <w:rPr>
          <w:rFonts w:asciiTheme="majorBidi" w:hAnsiTheme="majorBidi" w:cstheme="majorBidi"/>
          <w:b/>
          <w:bCs/>
          <w:color w:val="00B050"/>
          <w:szCs w:val="24"/>
        </w:rPr>
        <w:t xml:space="preserve">a sincérité est une branche de la Foi le mensonge est donc une branche de la mécréance ;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254F23" w:rsidP="00254F23">
      <w:pPr>
        <w:pStyle w:val="Sansinterligne"/>
        <w:numPr>
          <w:ilvl w:val="0"/>
          <w:numId w:val="2"/>
        </w:numPr>
        <w:rPr>
          <w:rFonts w:asciiTheme="majorBidi" w:hAnsiTheme="majorBidi" w:cstheme="majorBidi"/>
          <w:b/>
          <w:bCs/>
          <w:color w:val="00B050"/>
          <w:szCs w:val="24"/>
        </w:rPr>
      </w:pPr>
      <w:r w:rsidRPr="00254F23">
        <w:rPr>
          <w:rFonts w:asciiTheme="majorBidi" w:hAnsiTheme="majorBidi" w:cstheme="majorBidi"/>
          <w:b/>
          <w:bCs/>
          <w:color w:val="00B050"/>
          <w:szCs w:val="24"/>
        </w:rPr>
        <w:t>L</w:t>
      </w:r>
      <w:r w:rsidR="00B20CC9" w:rsidRPr="00254F23">
        <w:rPr>
          <w:rFonts w:asciiTheme="majorBidi" w:hAnsiTheme="majorBidi" w:cstheme="majorBidi"/>
          <w:b/>
          <w:bCs/>
          <w:color w:val="00B050"/>
          <w:szCs w:val="24"/>
        </w:rPr>
        <w:t xml:space="preserve">a prière, la </w:t>
      </w:r>
      <w:proofErr w:type="spellStart"/>
      <w:r w:rsidR="00B20CC9" w:rsidRPr="00254F23">
        <w:rPr>
          <w:rFonts w:asciiTheme="majorBidi" w:hAnsiTheme="majorBidi" w:cstheme="majorBidi"/>
          <w:b/>
          <w:bCs/>
          <w:color w:val="00B050"/>
          <w:szCs w:val="24"/>
        </w:rPr>
        <w:t>Zakât</w:t>
      </w:r>
      <w:proofErr w:type="spellEnd"/>
      <w:r w:rsidR="00B20CC9" w:rsidRPr="00254F23">
        <w:rPr>
          <w:rFonts w:asciiTheme="majorBidi" w:hAnsiTheme="majorBidi" w:cstheme="majorBidi"/>
          <w:b/>
          <w:bCs/>
          <w:color w:val="00B050"/>
          <w:szCs w:val="24"/>
        </w:rPr>
        <w:t xml:space="preserve">, le pèlerinage et le jeûne sont des branches de la Foi : les abandonner est une branche de la mécréance. </w:t>
      </w:r>
    </w:p>
    <w:p w:rsidR="00254F23" w:rsidRPr="00254F23" w:rsidRDefault="00254F23" w:rsidP="00254F23">
      <w:pPr>
        <w:pStyle w:val="Sansinterligne"/>
        <w:rPr>
          <w:rFonts w:asciiTheme="majorBidi" w:hAnsiTheme="majorBidi" w:cstheme="majorBidi"/>
          <w:b/>
          <w:bCs/>
          <w:color w:val="00B050"/>
          <w:szCs w:val="24"/>
        </w:rPr>
      </w:pPr>
    </w:p>
    <w:p w:rsidR="00B20CC9" w:rsidRPr="00254F23" w:rsidRDefault="00B20CC9" w:rsidP="00254F23">
      <w:pPr>
        <w:pStyle w:val="Sansinterligne"/>
        <w:numPr>
          <w:ilvl w:val="0"/>
          <w:numId w:val="2"/>
        </w:numPr>
        <w:rPr>
          <w:rFonts w:asciiTheme="majorBidi" w:hAnsiTheme="majorBidi" w:cstheme="majorBidi"/>
          <w:b/>
          <w:bCs/>
          <w:color w:val="00B050"/>
          <w:szCs w:val="24"/>
        </w:rPr>
      </w:pPr>
      <w:r w:rsidRPr="00254F23">
        <w:rPr>
          <w:rFonts w:asciiTheme="majorBidi" w:hAnsiTheme="majorBidi" w:cstheme="majorBidi"/>
          <w:b/>
          <w:bCs/>
          <w:color w:val="00B050"/>
          <w:szCs w:val="24"/>
        </w:rPr>
        <w:t xml:space="preserve">Juger d’après la loi d’Allah est une branche de la Foi, donc </w:t>
      </w:r>
      <w:proofErr w:type="gramStart"/>
      <w:r w:rsidRPr="00254F23">
        <w:rPr>
          <w:rFonts w:asciiTheme="majorBidi" w:hAnsiTheme="majorBidi" w:cstheme="majorBidi"/>
          <w:b/>
          <w:bCs/>
          <w:color w:val="00B050"/>
          <w:szCs w:val="24"/>
        </w:rPr>
        <w:t>juger</w:t>
      </w:r>
      <w:proofErr w:type="gramEnd"/>
      <w:r w:rsidRPr="00254F23">
        <w:rPr>
          <w:rFonts w:asciiTheme="majorBidi" w:hAnsiTheme="majorBidi" w:cstheme="majorBidi"/>
          <w:b/>
          <w:bCs/>
          <w:color w:val="00B050"/>
          <w:szCs w:val="24"/>
        </w:rPr>
        <w:t xml:space="preserve"> par autre que la loi d’Allah est une branche de la mécréance ; et toutes les désobéissances sont </w:t>
      </w:r>
      <w:r w:rsidRPr="00254F23">
        <w:rPr>
          <w:rFonts w:asciiTheme="majorBidi" w:hAnsiTheme="majorBidi" w:cstheme="majorBidi"/>
          <w:b/>
          <w:bCs/>
          <w:color w:val="00B050"/>
          <w:szCs w:val="24"/>
        </w:rPr>
        <w:lastRenderedPageBreak/>
        <w:t>des branches de la mécréance au même titre que toutes les obéissances sont des branches de la Foi.</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B20CC9" w:rsidP="00254F23">
      <w:pPr>
        <w:pStyle w:val="Sansinterligne"/>
        <w:rPr>
          <w:rFonts w:asciiTheme="majorBidi" w:hAnsiTheme="majorBidi" w:cstheme="majorBidi"/>
          <w:b/>
          <w:bCs/>
          <w:color w:val="00B050"/>
          <w:szCs w:val="24"/>
        </w:rPr>
      </w:pPr>
      <w:r w:rsidRPr="00254F23">
        <w:rPr>
          <w:rFonts w:asciiTheme="majorBidi" w:hAnsiTheme="majorBidi" w:cstheme="majorBidi"/>
          <w:b/>
          <w:bCs/>
          <w:color w:val="00B050"/>
          <w:szCs w:val="24"/>
        </w:rPr>
        <w:t xml:space="preserve">Et les branches de la Foi sont en deux parties ;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254F23" w:rsidP="00254F23">
      <w:pPr>
        <w:pStyle w:val="Sansinterligne"/>
        <w:numPr>
          <w:ilvl w:val="0"/>
          <w:numId w:val="1"/>
        </w:numPr>
        <w:rPr>
          <w:rFonts w:asciiTheme="majorBidi" w:hAnsiTheme="majorBidi" w:cstheme="majorBidi"/>
          <w:b/>
          <w:bCs/>
          <w:color w:val="00B050"/>
          <w:szCs w:val="24"/>
        </w:rPr>
      </w:pPr>
      <w:r w:rsidRPr="00254F23">
        <w:rPr>
          <w:rFonts w:asciiTheme="majorBidi" w:hAnsiTheme="majorBidi" w:cstheme="majorBidi"/>
          <w:b/>
          <w:bCs/>
          <w:color w:val="00B050"/>
          <w:szCs w:val="24"/>
        </w:rPr>
        <w:t>C</w:t>
      </w:r>
      <w:r w:rsidR="00B20CC9" w:rsidRPr="00254F23">
        <w:rPr>
          <w:rFonts w:asciiTheme="majorBidi" w:hAnsiTheme="majorBidi" w:cstheme="majorBidi"/>
          <w:b/>
          <w:bCs/>
          <w:color w:val="00B050"/>
          <w:szCs w:val="24"/>
        </w:rPr>
        <w:t xml:space="preserve">elles de la parole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254F23" w:rsidP="00254F23">
      <w:pPr>
        <w:pStyle w:val="Sansinterligne"/>
        <w:numPr>
          <w:ilvl w:val="0"/>
          <w:numId w:val="1"/>
        </w:numPr>
        <w:rPr>
          <w:rFonts w:asciiTheme="majorBidi" w:hAnsiTheme="majorBidi" w:cstheme="majorBidi"/>
          <w:b/>
          <w:bCs/>
          <w:color w:val="00B050"/>
          <w:szCs w:val="24"/>
        </w:rPr>
      </w:pPr>
      <w:r w:rsidRPr="00254F23">
        <w:rPr>
          <w:rFonts w:asciiTheme="majorBidi" w:hAnsiTheme="majorBidi" w:cstheme="majorBidi"/>
          <w:b/>
          <w:bCs/>
          <w:color w:val="00B050"/>
          <w:szCs w:val="24"/>
        </w:rPr>
        <w:t>E</w:t>
      </w:r>
      <w:r w:rsidR="00B20CC9" w:rsidRPr="00254F23">
        <w:rPr>
          <w:rFonts w:asciiTheme="majorBidi" w:hAnsiTheme="majorBidi" w:cstheme="majorBidi"/>
          <w:b/>
          <w:bCs/>
          <w:color w:val="00B050"/>
          <w:szCs w:val="24"/>
        </w:rPr>
        <w:t xml:space="preserve">t celles de l’acte. </w:t>
      </w:r>
    </w:p>
    <w:p w:rsidR="00254F23" w:rsidRPr="00254F23" w:rsidRDefault="00254F23" w:rsidP="00254F23">
      <w:pPr>
        <w:pStyle w:val="Sansinterligne"/>
        <w:rPr>
          <w:rFonts w:asciiTheme="majorBidi" w:hAnsiTheme="majorBidi" w:cstheme="majorBidi"/>
          <w:b/>
          <w:bCs/>
          <w:color w:val="00B050"/>
          <w:szCs w:val="24"/>
        </w:rPr>
      </w:pPr>
    </w:p>
    <w:p w:rsidR="00B20CC9" w:rsidRPr="00254F23" w:rsidRDefault="00B20CC9" w:rsidP="00254F23">
      <w:pPr>
        <w:pStyle w:val="Sansinterligne"/>
        <w:rPr>
          <w:rFonts w:asciiTheme="majorBidi" w:hAnsiTheme="majorBidi" w:cstheme="majorBidi"/>
          <w:b/>
          <w:bCs/>
          <w:color w:val="00B050"/>
          <w:szCs w:val="24"/>
        </w:rPr>
      </w:pPr>
      <w:r w:rsidRPr="00254F23">
        <w:rPr>
          <w:rFonts w:asciiTheme="majorBidi" w:hAnsiTheme="majorBidi" w:cstheme="majorBidi"/>
          <w:b/>
          <w:bCs/>
          <w:color w:val="00B050"/>
          <w:szCs w:val="24"/>
        </w:rPr>
        <w:t>Et ainsi les branches de la mécréances sont de deux types : celles de la parole et celles de l’acte.</w:t>
      </w:r>
    </w:p>
    <w:p w:rsidR="00254F23" w:rsidRPr="00254F23" w:rsidRDefault="00254F23" w:rsidP="00254F23">
      <w:pPr>
        <w:pStyle w:val="Sansinterligne"/>
        <w:rPr>
          <w:rFonts w:asciiTheme="majorBidi" w:hAnsiTheme="majorBidi" w:cstheme="majorBidi"/>
          <w:b/>
          <w:bCs/>
          <w:color w:val="00B050"/>
          <w:szCs w:val="24"/>
          <w:u w:val="single"/>
        </w:rPr>
      </w:pPr>
    </w:p>
    <w:p w:rsidR="00254F23" w:rsidRDefault="00B20CC9" w:rsidP="00254F23">
      <w:pPr>
        <w:pStyle w:val="Sansinterligne"/>
        <w:rPr>
          <w:rFonts w:asciiTheme="majorBidi" w:hAnsiTheme="majorBidi" w:cstheme="majorBidi"/>
          <w:b/>
          <w:bCs/>
          <w:color w:val="00B050"/>
          <w:szCs w:val="24"/>
        </w:rPr>
      </w:pPr>
      <w:r w:rsidRPr="00254F23">
        <w:rPr>
          <w:rFonts w:asciiTheme="majorBidi" w:hAnsiTheme="majorBidi" w:cstheme="majorBidi"/>
          <w:b/>
          <w:bCs/>
          <w:color w:val="00B050"/>
          <w:szCs w:val="24"/>
          <w:u w:val="single"/>
        </w:rPr>
        <w:t>Or il y a certaines branches de la parole de Foi dont la disparition entraine la disparition totale de la Foi</w:t>
      </w:r>
      <w:r w:rsidRPr="00254F23">
        <w:rPr>
          <w:rFonts w:asciiTheme="majorBidi" w:hAnsiTheme="majorBidi" w:cstheme="majorBidi"/>
          <w:b/>
          <w:bCs/>
          <w:color w:val="00B050"/>
          <w:szCs w:val="24"/>
        </w:rPr>
        <w:t xml:space="preserve"> ; et aussi des branches d’acte de la Foi </w:t>
      </w:r>
      <w:r w:rsidRPr="00254F23">
        <w:rPr>
          <w:rFonts w:asciiTheme="majorBidi" w:hAnsiTheme="majorBidi" w:cstheme="majorBidi"/>
          <w:b/>
          <w:bCs/>
          <w:color w:val="00B050"/>
          <w:szCs w:val="24"/>
          <w:u w:val="single"/>
        </w:rPr>
        <w:t>dont la disparition entraine la disparition totale de la Foi.</w:t>
      </w:r>
      <w:r w:rsidRPr="00254F23">
        <w:rPr>
          <w:rFonts w:asciiTheme="majorBidi" w:hAnsiTheme="majorBidi" w:cstheme="majorBidi"/>
          <w:b/>
          <w:bCs/>
          <w:color w:val="00B050"/>
          <w:szCs w:val="24"/>
        </w:rPr>
        <w:t xml:space="preserve"> Et il en va de même pour les branches de la mécréance ; elles sont paroles et actes. </w:t>
      </w:r>
    </w:p>
    <w:p w:rsidR="00254F23" w:rsidRDefault="00254F23" w:rsidP="00254F23">
      <w:pPr>
        <w:pStyle w:val="Sansinterligne"/>
        <w:rPr>
          <w:rFonts w:asciiTheme="majorBidi" w:hAnsiTheme="majorBidi" w:cstheme="majorBidi"/>
          <w:b/>
          <w:bCs/>
          <w:color w:val="00B050"/>
          <w:szCs w:val="24"/>
        </w:rPr>
      </w:pPr>
    </w:p>
    <w:p w:rsidR="00B20CC9" w:rsidRDefault="00B20CC9" w:rsidP="00254F23">
      <w:pPr>
        <w:pStyle w:val="Sansinterligne"/>
        <w:rPr>
          <w:rFonts w:asciiTheme="majorBidi" w:hAnsiTheme="majorBidi" w:cstheme="majorBidi"/>
          <w:szCs w:val="24"/>
        </w:rPr>
      </w:pPr>
      <w:r w:rsidRPr="00254F23">
        <w:rPr>
          <w:rFonts w:asciiTheme="majorBidi" w:hAnsiTheme="majorBidi" w:cstheme="majorBidi"/>
          <w:b/>
          <w:bCs/>
          <w:color w:val="00B050"/>
          <w:szCs w:val="24"/>
        </w:rPr>
        <w:t>Et de la même manière que l’on devient mécréant pour avoir prononcé une parole de mécréance délibérément et qui consiste en une branche de la mécréance ; eh bien l’on devient également mécréant lorsqu’on commet un acte qui est une branche de la mécréance comme lorsqu’on se prosterne pour une idole ou que l’on blasphème le Coran ; et ceci est un principe.</w:t>
      </w:r>
      <w:r w:rsidRPr="00254F23">
        <w:rPr>
          <w:rFonts w:asciiTheme="majorBidi" w:hAnsiTheme="majorBidi" w:cstheme="majorBidi"/>
          <w:szCs w:val="24"/>
        </w:rPr>
        <w:t xml:space="preserve"> » </w:t>
      </w:r>
    </w:p>
    <w:p w:rsidR="00254F23" w:rsidRPr="00254F23" w:rsidRDefault="00254F23" w:rsidP="00254F23">
      <w:pPr>
        <w:pStyle w:val="Sansinterligne"/>
        <w:rPr>
          <w:rFonts w:asciiTheme="majorBidi" w:hAnsiTheme="majorBidi" w:cstheme="majorBidi"/>
          <w:szCs w:val="24"/>
        </w:rPr>
      </w:pPr>
    </w:p>
    <w:p w:rsidR="00B20CC9" w:rsidRPr="00254F23" w:rsidRDefault="00B20CC9" w:rsidP="00254F23">
      <w:pPr>
        <w:pStyle w:val="Sansinterligne"/>
        <w:rPr>
          <w:rFonts w:asciiTheme="majorBidi" w:hAnsiTheme="majorBidi" w:cstheme="majorBidi"/>
          <w:szCs w:val="24"/>
        </w:rPr>
      </w:pPr>
      <w:r w:rsidRPr="00254F23">
        <w:rPr>
          <w:rFonts w:asciiTheme="majorBidi" w:hAnsiTheme="majorBidi" w:cstheme="majorBidi"/>
          <w:szCs w:val="24"/>
        </w:rPr>
        <w:t>Puis il dit</w:t>
      </w:r>
      <w:r w:rsidR="00254F23">
        <w:rPr>
          <w:rFonts w:asciiTheme="majorBidi" w:hAnsiTheme="majorBidi" w:cstheme="majorBidi"/>
          <w:szCs w:val="24"/>
        </w:rPr>
        <w:t xml:space="preserve"> </w:t>
      </w:r>
      <w:r w:rsidR="00254F23" w:rsidRPr="00F375EC">
        <w:rPr>
          <w:color w:val="000000"/>
        </w:rPr>
        <w:t>-</w:t>
      </w:r>
      <w:r w:rsidR="00254F23" w:rsidRPr="00F375EC">
        <w:rPr>
          <w:i/>
          <w:iCs/>
          <w:color w:val="000000"/>
        </w:rPr>
        <w:t>qu’All</w:t>
      </w:r>
      <w:r w:rsidR="00254F23">
        <w:rPr>
          <w:i/>
          <w:iCs/>
          <w:color w:val="000000"/>
        </w:rPr>
        <w:t>â</w:t>
      </w:r>
      <w:r w:rsidR="00254F23" w:rsidRPr="00F375EC">
        <w:rPr>
          <w:i/>
          <w:iCs/>
          <w:color w:val="000000"/>
        </w:rPr>
        <w:t>h lui fasse Miséricorde</w:t>
      </w:r>
      <w:r w:rsidR="00254F23" w:rsidRPr="00F375EC">
        <w:rPr>
          <w:color w:val="000000"/>
        </w:rPr>
        <w:t>-</w:t>
      </w:r>
      <w:r w:rsidR="00254F23">
        <w:rPr>
          <w:rFonts w:asciiTheme="majorBidi" w:hAnsiTheme="majorBidi" w:cstheme="majorBidi"/>
          <w:szCs w:val="24"/>
        </w:rPr>
        <w:t xml:space="preserve"> </w:t>
      </w:r>
      <w:r w:rsidRPr="00254F23">
        <w:rPr>
          <w:rFonts w:asciiTheme="majorBidi" w:hAnsiTheme="majorBidi" w:cstheme="majorBidi"/>
          <w:szCs w:val="24"/>
        </w:rPr>
        <w:t>:</w:t>
      </w:r>
    </w:p>
    <w:p w:rsidR="00254F23" w:rsidRPr="00254F23" w:rsidRDefault="00254F23" w:rsidP="00254F23">
      <w:pPr>
        <w:pStyle w:val="Sansinterligne"/>
        <w:rPr>
          <w:rFonts w:asciiTheme="majorBidi" w:hAnsiTheme="majorBidi" w:cstheme="majorBidi"/>
          <w:szCs w:val="24"/>
        </w:rPr>
      </w:pPr>
    </w:p>
    <w:p w:rsidR="00B20CC9" w:rsidRPr="00254F23" w:rsidRDefault="00B20CC9" w:rsidP="00254F23">
      <w:pPr>
        <w:pStyle w:val="Sansinterligne"/>
        <w:bidi/>
        <w:rPr>
          <w:rFonts w:asciiTheme="majorBidi" w:hAnsiTheme="majorBidi" w:cstheme="majorBidi"/>
          <w:spacing w:val="-12"/>
          <w:sz w:val="32"/>
          <w:szCs w:val="32"/>
          <w:rtl/>
          <w:lang w:val="fr-BE"/>
        </w:rPr>
      </w:pPr>
      <w:r w:rsidRPr="00254F23">
        <w:rPr>
          <w:rFonts w:asciiTheme="majorBidi" w:hAnsiTheme="majorBidi" w:cstheme="majorBidi"/>
          <w:spacing w:val="-12"/>
          <w:sz w:val="32"/>
          <w:szCs w:val="32"/>
          <w:rtl/>
          <w:lang w:val="fr-BE"/>
        </w:rPr>
        <w:t xml:space="preserve">وها هنا أصل آخر وهو أن الكفر نوعان: كفر عمل وكفر جحود وعناد, فكفر الجحود أن يكفر بما علم أن الرسول جاء </w:t>
      </w:r>
      <w:proofErr w:type="spellStart"/>
      <w:r w:rsidRPr="00254F23">
        <w:rPr>
          <w:rFonts w:asciiTheme="majorBidi" w:hAnsiTheme="majorBidi" w:cstheme="majorBidi"/>
          <w:spacing w:val="-12"/>
          <w:sz w:val="32"/>
          <w:szCs w:val="32"/>
          <w:rtl/>
          <w:lang w:val="fr-BE"/>
        </w:rPr>
        <w:t>به</w:t>
      </w:r>
      <w:proofErr w:type="spellEnd"/>
      <w:r w:rsidRPr="00254F23">
        <w:rPr>
          <w:rFonts w:asciiTheme="majorBidi" w:hAnsiTheme="majorBidi" w:cstheme="majorBidi"/>
          <w:spacing w:val="-12"/>
          <w:sz w:val="32"/>
          <w:szCs w:val="32"/>
          <w:rtl/>
          <w:lang w:val="fr-BE"/>
        </w:rPr>
        <w:t xml:space="preserve"> من عند الله جحودا وعنادا من أسماء الرب وصفاته وأفعاله وأحكامه, وهذا الكفر </w:t>
      </w:r>
      <w:proofErr w:type="spellStart"/>
      <w:r w:rsidRPr="00254F23">
        <w:rPr>
          <w:rFonts w:asciiTheme="majorBidi" w:hAnsiTheme="majorBidi" w:cstheme="majorBidi"/>
          <w:spacing w:val="-12"/>
          <w:sz w:val="32"/>
          <w:szCs w:val="32"/>
          <w:rtl/>
          <w:lang w:val="fr-BE"/>
        </w:rPr>
        <w:t>يضاد</w:t>
      </w:r>
      <w:proofErr w:type="spellEnd"/>
      <w:r w:rsidRPr="00254F23">
        <w:rPr>
          <w:rFonts w:asciiTheme="majorBidi" w:hAnsiTheme="majorBidi" w:cstheme="majorBidi"/>
          <w:spacing w:val="-12"/>
          <w:sz w:val="32"/>
          <w:szCs w:val="32"/>
          <w:rtl/>
          <w:lang w:val="fr-BE"/>
        </w:rPr>
        <w:t xml:space="preserve"> الإيمان من كل وجه.</w:t>
      </w:r>
      <w:r w:rsidRPr="00254F23">
        <w:rPr>
          <w:rFonts w:asciiTheme="majorBidi" w:hAnsiTheme="majorBidi" w:cstheme="majorBidi"/>
          <w:spacing w:val="-12"/>
          <w:sz w:val="32"/>
          <w:szCs w:val="32"/>
          <w:lang w:val="fr-BE"/>
        </w:rPr>
        <w:t xml:space="preserve"> </w:t>
      </w:r>
      <w:r w:rsidRPr="00254F23">
        <w:rPr>
          <w:rFonts w:asciiTheme="majorBidi" w:hAnsiTheme="majorBidi" w:cstheme="majorBidi"/>
          <w:spacing w:val="-12"/>
          <w:sz w:val="32"/>
          <w:szCs w:val="32"/>
          <w:rtl/>
          <w:lang w:val="fr-BE"/>
        </w:rPr>
        <w:t xml:space="preserve">وأما كفر العمل فينقسم إلى ما </w:t>
      </w:r>
      <w:proofErr w:type="spellStart"/>
      <w:r w:rsidRPr="00254F23">
        <w:rPr>
          <w:rFonts w:asciiTheme="majorBidi" w:hAnsiTheme="majorBidi" w:cstheme="majorBidi"/>
          <w:spacing w:val="-12"/>
          <w:sz w:val="32"/>
          <w:szCs w:val="32"/>
          <w:rtl/>
          <w:lang w:val="fr-BE"/>
        </w:rPr>
        <w:t>يضاد</w:t>
      </w:r>
      <w:proofErr w:type="spellEnd"/>
      <w:r w:rsidRPr="00254F23">
        <w:rPr>
          <w:rFonts w:asciiTheme="majorBidi" w:hAnsiTheme="majorBidi" w:cstheme="majorBidi"/>
          <w:spacing w:val="-12"/>
          <w:sz w:val="32"/>
          <w:szCs w:val="32"/>
          <w:rtl/>
          <w:lang w:val="fr-BE"/>
        </w:rPr>
        <w:t xml:space="preserve"> الإيمان وإلى ما لا </w:t>
      </w:r>
      <w:proofErr w:type="spellStart"/>
      <w:r w:rsidRPr="00254F23">
        <w:rPr>
          <w:rFonts w:asciiTheme="majorBidi" w:hAnsiTheme="majorBidi" w:cstheme="majorBidi"/>
          <w:spacing w:val="-12"/>
          <w:sz w:val="32"/>
          <w:szCs w:val="32"/>
          <w:rtl/>
          <w:lang w:val="fr-BE"/>
        </w:rPr>
        <w:t>يضاده</w:t>
      </w:r>
      <w:proofErr w:type="spellEnd"/>
      <w:r w:rsidRPr="00254F23">
        <w:rPr>
          <w:rFonts w:asciiTheme="majorBidi" w:hAnsiTheme="majorBidi" w:cstheme="majorBidi"/>
          <w:spacing w:val="-12"/>
          <w:sz w:val="32"/>
          <w:szCs w:val="32"/>
          <w:rtl/>
          <w:lang w:val="fr-BE"/>
        </w:rPr>
        <w:t xml:space="preserve">. فالسجود للصنم والاستهانة بالمصحف وقتل النبي وسبه </w:t>
      </w:r>
      <w:proofErr w:type="spellStart"/>
      <w:r w:rsidRPr="00254F23">
        <w:rPr>
          <w:rFonts w:asciiTheme="majorBidi" w:hAnsiTheme="majorBidi" w:cstheme="majorBidi"/>
          <w:spacing w:val="-12"/>
          <w:sz w:val="32"/>
          <w:szCs w:val="32"/>
          <w:rtl/>
          <w:lang w:val="fr-BE"/>
        </w:rPr>
        <w:t>يضاد</w:t>
      </w:r>
      <w:proofErr w:type="spellEnd"/>
      <w:r w:rsidRPr="00254F23">
        <w:rPr>
          <w:rFonts w:asciiTheme="majorBidi" w:hAnsiTheme="majorBidi" w:cstheme="majorBidi"/>
          <w:spacing w:val="-12"/>
          <w:sz w:val="32"/>
          <w:szCs w:val="32"/>
          <w:rtl/>
          <w:lang w:val="fr-BE"/>
        </w:rPr>
        <w:t xml:space="preserve"> الإيمان</w:t>
      </w:r>
    </w:p>
    <w:p w:rsidR="00254F23" w:rsidRDefault="00254F23" w:rsidP="00254F23">
      <w:pPr>
        <w:pStyle w:val="Sansinterligne"/>
        <w:rPr>
          <w:rFonts w:asciiTheme="majorBidi" w:hAnsiTheme="majorBidi" w:cstheme="majorBidi"/>
          <w:szCs w:val="24"/>
        </w:rPr>
      </w:pPr>
    </w:p>
    <w:p w:rsidR="00254F23" w:rsidRPr="00254F23" w:rsidRDefault="00B20CC9" w:rsidP="00254F23">
      <w:pPr>
        <w:pStyle w:val="Sansinterligne"/>
        <w:rPr>
          <w:rFonts w:asciiTheme="majorBidi" w:hAnsiTheme="majorBidi" w:cstheme="majorBidi"/>
          <w:b/>
          <w:bCs/>
          <w:color w:val="00B050"/>
          <w:szCs w:val="24"/>
        </w:rPr>
      </w:pPr>
      <w:r w:rsidRPr="00254F23">
        <w:rPr>
          <w:rFonts w:asciiTheme="majorBidi" w:hAnsiTheme="majorBidi" w:cstheme="majorBidi"/>
          <w:szCs w:val="24"/>
        </w:rPr>
        <w:t>« </w:t>
      </w:r>
      <w:r w:rsidRPr="00254F23">
        <w:rPr>
          <w:rFonts w:asciiTheme="majorBidi" w:hAnsiTheme="majorBidi" w:cstheme="majorBidi"/>
          <w:b/>
          <w:bCs/>
          <w:color w:val="00B050"/>
          <w:szCs w:val="24"/>
        </w:rPr>
        <w:t>Il y a ici un autre principe; qui est que la mécréance a deux formes</w:t>
      </w:r>
      <w:r w:rsidR="00254F23" w:rsidRPr="00254F23">
        <w:rPr>
          <w:rFonts w:asciiTheme="majorBidi" w:hAnsiTheme="majorBidi" w:cstheme="majorBidi"/>
          <w:b/>
          <w:bCs/>
          <w:color w:val="00B050"/>
          <w:szCs w:val="24"/>
        </w:rPr>
        <w:t xml:space="preserve"> </w:t>
      </w:r>
      <w:r w:rsidRPr="00254F23">
        <w:rPr>
          <w:rFonts w:asciiTheme="majorBidi" w:hAnsiTheme="majorBidi" w:cstheme="majorBidi"/>
          <w:b/>
          <w:bCs/>
          <w:color w:val="00B050"/>
          <w:szCs w:val="24"/>
        </w:rPr>
        <w:t xml:space="preserve">: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254F23" w:rsidP="00254F23">
      <w:pPr>
        <w:pStyle w:val="Sansinterligne"/>
        <w:numPr>
          <w:ilvl w:val="0"/>
          <w:numId w:val="3"/>
        </w:numPr>
        <w:rPr>
          <w:rFonts w:asciiTheme="majorBidi" w:hAnsiTheme="majorBidi" w:cstheme="majorBidi"/>
          <w:b/>
          <w:bCs/>
          <w:color w:val="00B050"/>
          <w:szCs w:val="24"/>
        </w:rPr>
      </w:pPr>
      <w:r w:rsidRPr="00254F23">
        <w:rPr>
          <w:rFonts w:asciiTheme="majorBidi" w:hAnsiTheme="majorBidi" w:cstheme="majorBidi"/>
          <w:b/>
          <w:bCs/>
          <w:color w:val="00B050"/>
          <w:szCs w:val="24"/>
        </w:rPr>
        <w:t>C</w:t>
      </w:r>
      <w:r w:rsidR="00B20CC9" w:rsidRPr="00254F23">
        <w:rPr>
          <w:rFonts w:asciiTheme="majorBidi" w:hAnsiTheme="majorBidi" w:cstheme="majorBidi"/>
          <w:b/>
          <w:bCs/>
          <w:color w:val="00B050"/>
          <w:szCs w:val="24"/>
        </w:rPr>
        <w:t xml:space="preserve">elle de l’acte du corps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254F23" w:rsidP="00254F23">
      <w:pPr>
        <w:pStyle w:val="Sansinterligne"/>
        <w:numPr>
          <w:ilvl w:val="0"/>
          <w:numId w:val="3"/>
        </w:numPr>
        <w:rPr>
          <w:rFonts w:asciiTheme="majorBidi" w:hAnsiTheme="majorBidi" w:cstheme="majorBidi"/>
          <w:b/>
          <w:bCs/>
          <w:color w:val="00B050"/>
          <w:szCs w:val="24"/>
        </w:rPr>
      </w:pPr>
      <w:r w:rsidRPr="00254F23">
        <w:rPr>
          <w:rFonts w:asciiTheme="majorBidi" w:hAnsiTheme="majorBidi" w:cstheme="majorBidi"/>
          <w:b/>
          <w:bCs/>
          <w:color w:val="00B050"/>
          <w:szCs w:val="24"/>
        </w:rPr>
        <w:t>E</w:t>
      </w:r>
      <w:r w:rsidR="00B20CC9" w:rsidRPr="00254F23">
        <w:rPr>
          <w:rFonts w:asciiTheme="majorBidi" w:hAnsiTheme="majorBidi" w:cstheme="majorBidi"/>
          <w:b/>
          <w:bCs/>
          <w:color w:val="00B050"/>
          <w:szCs w:val="24"/>
        </w:rPr>
        <w:t xml:space="preserve">t celle du reniement et du refus du cœur.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B20CC9" w:rsidP="00254F23">
      <w:pPr>
        <w:pStyle w:val="Sansinterligne"/>
        <w:rPr>
          <w:rFonts w:asciiTheme="majorBidi" w:hAnsiTheme="majorBidi" w:cstheme="majorBidi"/>
          <w:b/>
          <w:bCs/>
          <w:color w:val="00B050"/>
          <w:szCs w:val="24"/>
        </w:rPr>
      </w:pPr>
      <w:r w:rsidRPr="00254F23">
        <w:rPr>
          <w:rFonts w:asciiTheme="majorBidi" w:hAnsiTheme="majorBidi" w:cstheme="majorBidi"/>
          <w:b/>
          <w:bCs/>
          <w:color w:val="00B050"/>
          <w:szCs w:val="24"/>
        </w:rPr>
        <w:t xml:space="preserve">La mécréance du rejet consiste à mécroire en ce que l’on sait être un enseignement du messager venu de la part d’Allah par reniement et refus comme :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254F23" w:rsidP="00254F23">
      <w:pPr>
        <w:pStyle w:val="Sansinterligne"/>
        <w:numPr>
          <w:ilvl w:val="0"/>
          <w:numId w:val="4"/>
        </w:numPr>
        <w:rPr>
          <w:rFonts w:asciiTheme="majorBidi" w:hAnsiTheme="majorBidi" w:cstheme="majorBidi"/>
          <w:b/>
          <w:bCs/>
          <w:color w:val="00B050"/>
          <w:szCs w:val="24"/>
        </w:rPr>
      </w:pPr>
      <w:r w:rsidRPr="00254F23">
        <w:rPr>
          <w:rFonts w:asciiTheme="majorBidi" w:hAnsiTheme="majorBidi" w:cstheme="majorBidi"/>
          <w:b/>
          <w:bCs/>
          <w:color w:val="00B050"/>
          <w:szCs w:val="24"/>
        </w:rPr>
        <w:t>L</w:t>
      </w:r>
      <w:r w:rsidR="00B20CC9" w:rsidRPr="00254F23">
        <w:rPr>
          <w:rFonts w:asciiTheme="majorBidi" w:hAnsiTheme="majorBidi" w:cstheme="majorBidi"/>
          <w:b/>
          <w:bCs/>
          <w:color w:val="00B050"/>
          <w:szCs w:val="24"/>
        </w:rPr>
        <w:t xml:space="preserve">es noms d’Allah ;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B20CC9" w:rsidP="00254F23">
      <w:pPr>
        <w:pStyle w:val="Sansinterligne"/>
        <w:numPr>
          <w:ilvl w:val="0"/>
          <w:numId w:val="4"/>
        </w:numPr>
        <w:rPr>
          <w:rFonts w:asciiTheme="majorBidi" w:hAnsiTheme="majorBidi" w:cstheme="majorBidi"/>
          <w:b/>
          <w:bCs/>
          <w:color w:val="00B050"/>
          <w:szCs w:val="24"/>
        </w:rPr>
      </w:pPr>
      <w:r w:rsidRPr="00254F23">
        <w:rPr>
          <w:rFonts w:asciiTheme="majorBidi" w:hAnsiTheme="majorBidi" w:cstheme="majorBidi"/>
          <w:b/>
          <w:bCs/>
          <w:color w:val="00B050"/>
          <w:szCs w:val="24"/>
        </w:rPr>
        <w:t xml:space="preserve">Ses attributs ; </w:t>
      </w:r>
    </w:p>
    <w:p w:rsidR="00254F23" w:rsidRPr="00254F23" w:rsidRDefault="00254F23" w:rsidP="00254F23">
      <w:pPr>
        <w:pStyle w:val="Sansinterligne"/>
        <w:rPr>
          <w:rFonts w:asciiTheme="majorBidi" w:hAnsiTheme="majorBidi" w:cstheme="majorBidi"/>
          <w:b/>
          <w:bCs/>
          <w:color w:val="00B050"/>
          <w:szCs w:val="24"/>
        </w:rPr>
      </w:pPr>
    </w:p>
    <w:p w:rsidR="00254F23" w:rsidRPr="00254F23" w:rsidRDefault="00B20CC9" w:rsidP="00254F23">
      <w:pPr>
        <w:pStyle w:val="Sansinterligne"/>
        <w:numPr>
          <w:ilvl w:val="0"/>
          <w:numId w:val="4"/>
        </w:numPr>
        <w:rPr>
          <w:rFonts w:asciiTheme="majorBidi" w:hAnsiTheme="majorBidi" w:cstheme="majorBidi"/>
          <w:b/>
          <w:bCs/>
          <w:color w:val="00B050"/>
          <w:szCs w:val="24"/>
        </w:rPr>
      </w:pPr>
      <w:r w:rsidRPr="00254F23">
        <w:rPr>
          <w:rFonts w:asciiTheme="majorBidi" w:hAnsiTheme="majorBidi" w:cstheme="majorBidi"/>
          <w:b/>
          <w:bCs/>
          <w:color w:val="00B050"/>
          <w:szCs w:val="24"/>
        </w:rPr>
        <w:t xml:space="preserve">Ses Fonctions et Ses Lois. </w:t>
      </w:r>
    </w:p>
    <w:p w:rsidR="00254F23" w:rsidRPr="00254F23" w:rsidRDefault="00254F23" w:rsidP="00254F23">
      <w:pPr>
        <w:pStyle w:val="Sansinterligne"/>
        <w:rPr>
          <w:rFonts w:asciiTheme="majorBidi" w:hAnsiTheme="majorBidi" w:cstheme="majorBidi"/>
          <w:b/>
          <w:bCs/>
          <w:color w:val="00B050"/>
          <w:szCs w:val="24"/>
        </w:rPr>
      </w:pPr>
    </w:p>
    <w:p w:rsidR="00254F23" w:rsidRDefault="00B20CC9" w:rsidP="00254F23">
      <w:pPr>
        <w:pStyle w:val="Sansinterligne"/>
        <w:rPr>
          <w:rFonts w:asciiTheme="majorBidi" w:hAnsiTheme="majorBidi" w:cstheme="majorBidi"/>
          <w:szCs w:val="24"/>
        </w:rPr>
      </w:pPr>
      <w:r w:rsidRPr="00254F23">
        <w:rPr>
          <w:rFonts w:asciiTheme="majorBidi" w:hAnsiTheme="majorBidi" w:cstheme="majorBidi"/>
          <w:b/>
          <w:bCs/>
          <w:color w:val="00B050"/>
          <w:szCs w:val="24"/>
        </w:rPr>
        <w:lastRenderedPageBreak/>
        <w:t>Cette mécréance s’oppose totalement à la Foi, sous tous ses aspects. Quant à la mécréance de l’acte du corps ; elle se répartit entre ceux qui invalident totalement la Foi et ceux qui ne l’invalident pas totalement. En effet ; se prosterner pour une idole ; exprimer du mépris envers le Coran, tuer le prophète ou l’insulter ; [tout ceci] invalide totalement la Foi.</w:t>
      </w:r>
      <w:r w:rsidRPr="00254F23">
        <w:rPr>
          <w:rFonts w:asciiTheme="majorBidi" w:hAnsiTheme="majorBidi" w:cstheme="majorBidi"/>
          <w:szCs w:val="24"/>
        </w:rPr>
        <w:t xml:space="preserve"> » </w:t>
      </w:r>
    </w:p>
    <w:p w:rsidR="00254F23" w:rsidRDefault="00254F23" w:rsidP="00254F23">
      <w:pPr>
        <w:pStyle w:val="Sansinterligne"/>
        <w:rPr>
          <w:rFonts w:asciiTheme="majorBidi" w:hAnsiTheme="majorBidi" w:cstheme="majorBidi"/>
          <w:szCs w:val="24"/>
        </w:rPr>
      </w:pPr>
    </w:p>
    <w:p w:rsidR="00254F23" w:rsidRDefault="00254F23" w:rsidP="00254F23">
      <w:pPr>
        <w:pStyle w:val="Sansinterligne"/>
        <w:rPr>
          <w:rFonts w:asciiTheme="majorBidi" w:hAnsiTheme="majorBidi" w:cstheme="majorBidi"/>
          <w:szCs w:val="24"/>
        </w:rPr>
      </w:pPr>
    </w:p>
    <w:p w:rsidR="00B20CC9" w:rsidRPr="00254F23" w:rsidRDefault="00254F23" w:rsidP="00254F23">
      <w:pPr>
        <w:pStyle w:val="Sansinterligne"/>
        <w:rPr>
          <w:rFonts w:asciiTheme="majorBidi" w:hAnsiTheme="majorBidi" w:cstheme="majorBidi"/>
          <w:szCs w:val="24"/>
        </w:rPr>
      </w:pPr>
      <w:r w:rsidRPr="00254F23">
        <w:rPr>
          <w:rFonts w:asciiTheme="majorBidi" w:hAnsiTheme="majorBidi" w:cstheme="majorBidi"/>
          <w:b/>
          <w:bCs/>
          <w:szCs w:val="24"/>
          <w:u w:val="single"/>
        </w:rPr>
        <w:t>Source</w:t>
      </w:r>
      <w:r>
        <w:rPr>
          <w:rFonts w:asciiTheme="majorBidi" w:hAnsiTheme="majorBidi" w:cstheme="majorBidi"/>
          <w:szCs w:val="24"/>
        </w:rPr>
        <w:t xml:space="preserve"> : </w:t>
      </w:r>
      <w:r w:rsidR="00B20CC9" w:rsidRPr="00254F23">
        <w:rPr>
          <w:rFonts w:asciiTheme="majorBidi" w:hAnsiTheme="majorBidi" w:cstheme="majorBidi"/>
          <w:szCs w:val="24"/>
        </w:rPr>
        <w:t xml:space="preserve">As Salât </w:t>
      </w:r>
      <w:proofErr w:type="spellStart"/>
      <w:r w:rsidR="00B20CC9" w:rsidRPr="00254F23">
        <w:rPr>
          <w:rFonts w:asciiTheme="majorBidi" w:hAnsiTheme="majorBidi" w:cstheme="majorBidi"/>
          <w:szCs w:val="24"/>
        </w:rPr>
        <w:t>wa</w:t>
      </w:r>
      <w:proofErr w:type="spellEnd"/>
      <w:r w:rsidR="00B20CC9" w:rsidRPr="00254F23">
        <w:rPr>
          <w:rFonts w:asciiTheme="majorBidi" w:hAnsiTheme="majorBidi" w:cstheme="majorBidi"/>
          <w:szCs w:val="24"/>
        </w:rPr>
        <w:t xml:space="preserve"> </w:t>
      </w:r>
      <w:proofErr w:type="spellStart"/>
      <w:r w:rsidR="00B20CC9" w:rsidRPr="00254F23">
        <w:rPr>
          <w:rFonts w:asciiTheme="majorBidi" w:hAnsiTheme="majorBidi" w:cstheme="majorBidi"/>
          <w:szCs w:val="24"/>
        </w:rPr>
        <w:t>Ahkâm</w:t>
      </w:r>
      <w:proofErr w:type="spellEnd"/>
      <w:r w:rsidR="00B20CC9" w:rsidRPr="00254F23">
        <w:rPr>
          <w:rFonts w:asciiTheme="majorBidi" w:hAnsiTheme="majorBidi" w:cstheme="majorBidi"/>
          <w:szCs w:val="24"/>
        </w:rPr>
        <w:t xml:space="preserve"> </w:t>
      </w:r>
      <w:proofErr w:type="spellStart"/>
      <w:r w:rsidR="00B20CC9" w:rsidRPr="00254F23">
        <w:rPr>
          <w:rFonts w:asciiTheme="majorBidi" w:hAnsiTheme="majorBidi" w:cstheme="majorBidi"/>
          <w:szCs w:val="24"/>
        </w:rPr>
        <w:t>Târikiha</w:t>
      </w:r>
      <w:proofErr w:type="spellEnd"/>
      <w:r>
        <w:rPr>
          <w:rFonts w:asciiTheme="majorBidi" w:hAnsiTheme="majorBidi" w:cstheme="majorBidi"/>
          <w:szCs w:val="24"/>
        </w:rPr>
        <w:t>, pages</w:t>
      </w:r>
      <w:r w:rsidR="00B20CC9" w:rsidRPr="00254F23">
        <w:rPr>
          <w:rFonts w:asciiTheme="majorBidi" w:hAnsiTheme="majorBidi" w:cstheme="majorBidi"/>
          <w:szCs w:val="24"/>
        </w:rPr>
        <w:t xml:space="preserve"> 55</w:t>
      </w:r>
      <w:r>
        <w:rPr>
          <w:rFonts w:asciiTheme="majorBidi" w:hAnsiTheme="majorBidi" w:cstheme="majorBidi"/>
          <w:szCs w:val="24"/>
        </w:rPr>
        <w:t>-</w:t>
      </w:r>
      <w:r w:rsidR="00B20CC9" w:rsidRPr="00254F23">
        <w:rPr>
          <w:rFonts w:asciiTheme="majorBidi" w:hAnsiTheme="majorBidi" w:cstheme="majorBidi"/>
          <w:szCs w:val="24"/>
        </w:rPr>
        <w:t>57</w:t>
      </w:r>
      <w:r>
        <w:rPr>
          <w:rFonts w:asciiTheme="majorBidi" w:hAnsiTheme="majorBidi" w:cstheme="majorBidi"/>
          <w:szCs w:val="24"/>
        </w:rPr>
        <w:t>.</w:t>
      </w:r>
    </w:p>
    <w:p w:rsidR="00704369" w:rsidRPr="00254F23" w:rsidRDefault="00704369" w:rsidP="00254F23">
      <w:pPr>
        <w:pStyle w:val="Sansinterligne"/>
        <w:rPr>
          <w:rFonts w:asciiTheme="majorBidi" w:hAnsiTheme="majorBidi" w:cstheme="majorBidi"/>
          <w:szCs w:val="24"/>
        </w:rPr>
      </w:pPr>
    </w:p>
    <w:sectPr w:rsidR="00704369" w:rsidRPr="00254F23" w:rsidSect="00773FD5">
      <w:footerReference w:type="default" r:id="rId9"/>
      <w:pgSz w:w="11906" w:h="16838" w:code="9"/>
      <w:pgMar w:top="1417" w:right="1417" w:bottom="1417" w:left="141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49B" w:rsidRDefault="003E349B" w:rsidP="00773FD5">
      <w:r>
        <w:separator/>
      </w:r>
    </w:p>
  </w:endnote>
  <w:endnote w:type="continuationSeparator" w:id="0">
    <w:p w:rsidR="003E349B" w:rsidRDefault="003E349B" w:rsidP="00773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sz w:val="26"/>
        <w:szCs w:val="26"/>
      </w:rPr>
      <w:id w:val="4509002"/>
      <w:docPartObj>
        <w:docPartGallery w:val="Page Numbers (Bottom of Page)"/>
        <w:docPartUnique/>
      </w:docPartObj>
    </w:sdtPr>
    <w:sdtEndPr>
      <w:rPr>
        <w:rFonts w:asciiTheme="majorHAnsi" w:hAnsiTheme="majorHAnsi"/>
        <w:sz w:val="24"/>
        <w:szCs w:val="24"/>
      </w:rPr>
    </w:sdtEndPr>
    <w:sdtContent>
      <w:p w:rsidR="00773FD5" w:rsidRPr="00595CA1" w:rsidRDefault="00773FD5" w:rsidP="00773FD5">
        <w:pPr>
          <w:pStyle w:val="Pieddepage"/>
          <w:jc w:val="center"/>
          <w:rPr>
            <w:rFonts w:asciiTheme="majorBidi" w:hAnsiTheme="majorBidi" w:cstheme="majorBidi"/>
            <w:b/>
            <w:bCs/>
            <w:sz w:val="26"/>
            <w:szCs w:val="26"/>
          </w:rPr>
        </w:pPr>
        <w:r w:rsidRPr="00595CA1">
          <w:rPr>
            <w:rFonts w:asciiTheme="majorBidi" w:hAnsiTheme="majorBidi" w:cstheme="majorBidi"/>
            <w:b/>
            <w:bCs/>
            <w:sz w:val="26"/>
            <w:szCs w:val="26"/>
          </w:rPr>
          <w:t xml:space="preserve"> </w:t>
        </w:r>
        <w:sdt>
          <w:sdtPr>
            <w:rPr>
              <w:rFonts w:asciiTheme="majorBidi" w:hAnsiTheme="majorBidi" w:cstheme="majorBidi"/>
              <w:b/>
              <w:bCs/>
              <w:sz w:val="26"/>
              <w:szCs w:val="26"/>
            </w:rPr>
            <w:id w:val="66406374"/>
            <w:docPartObj>
              <w:docPartGallery w:val="Page Numbers (Bottom of Page)"/>
              <w:docPartUnique/>
            </w:docPartObj>
          </w:sdtPr>
          <w:sdtContent>
            <w:hyperlink r:id="rId1" w:history="1">
              <w:r w:rsidRPr="00595CA1">
                <w:rPr>
                  <w:rStyle w:val="Lienhypertexte"/>
                  <w:rFonts w:asciiTheme="majorBidi" w:hAnsiTheme="majorBidi" w:cstheme="majorBidi"/>
                  <w:b/>
                  <w:bCs/>
                  <w:sz w:val="26"/>
                  <w:szCs w:val="26"/>
                </w:rPr>
                <w:t>http://bibliotheque-islamique-coran-sunna.over-blog.com/</w:t>
              </w:r>
            </w:hyperlink>
          </w:sdtContent>
        </w:sdt>
      </w:p>
      <w:p w:rsidR="00773FD5" w:rsidRDefault="00370DFC" w:rsidP="00773FD5">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3" style="position:absolute;margin-left:178.15pt;margin-top:18.9pt;width:106.75pt;height:31.2pt;z-index:251658240;mso-position-horizontal-relative:margin;mso-position-vertical-relative:bottom-margin-area;v-text-anchor:middle" fillcolor="white [3201]" strokecolor="#666 [1936]" strokeweight="1pt">
              <v:fill color2="#999 [1296]" focusposition="1" focussize="" focus="100%" type="gradient"/>
              <v:shadow on="t" type="perspective" color="#7f7f7f [1601]" opacity=".5" offset="1pt" offset2="-3pt"/>
              <v:textbox>
                <w:txbxContent>
                  <w:p w:rsidR="00773FD5" w:rsidRPr="007C4FC4" w:rsidRDefault="00370DFC" w:rsidP="00773FD5">
                    <w:pPr>
                      <w:pStyle w:val="Pieddepage"/>
                      <w:jc w:val="center"/>
                      <w:rPr>
                        <w:b/>
                        <w:sz w:val="32"/>
                        <w:szCs w:val="32"/>
                      </w:rPr>
                    </w:pPr>
                    <w:fldSimple w:instr=" PAGE    \* MERGEFORMAT ">
                      <w:r w:rsidR="00B57AB6" w:rsidRPr="00B57AB6">
                        <w:rPr>
                          <w:b/>
                          <w:noProof/>
                          <w:sz w:val="32"/>
                          <w:szCs w:val="32"/>
                        </w:rPr>
                        <w:t>1</w:t>
                      </w:r>
                    </w:fldSimple>
                  </w:p>
                </w:txbxContent>
              </v:textbox>
              <w10:wrap anchorx="margin" anchory="page"/>
            </v:oval>
          </w:pict>
        </w:r>
      </w:p>
    </w:sdtContent>
  </w:sdt>
  <w:p w:rsidR="00773FD5" w:rsidRDefault="00773FD5" w:rsidP="00773FD5">
    <w:pPr>
      <w:pStyle w:val="Pieddepage"/>
    </w:pPr>
  </w:p>
  <w:p w:rsidR="00773FD5" w:rsidRDefault="00773F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49B" w:rsidRDefault="003E349B" w:rsidP="00773FD5">
      <w:r>
        <w:separator/>
      </w:r>
    </w:p>
  </w:footnote>
  <w:footnote w:type="continuationSeparator" w:id="0">
    <w:p w:rsidR="003E349B" w:rsidRDefault="003E349B" w:rsidP="00773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11.35pt;height:9.45pt" o:bullet="t">
        <v:imagedata r:id="rId1" o:title="BD21300_"/>
      </v:shape>
    </w:pict>
  </w:numPicBullet>
  <w:numPicBullet w:numPicBulletId="1">
    <w:pict>
      <v:shape id="_x0000_i1246" type="#_x0000_t75" style="width:9.45pt;height:9.45pt" o:bullet="t">
        <v:imagedata r:id="rId2" o:title="BD14830_"/>
      </v:shape>
    </w:pict>
  </w:numPicBullet>
  <w:numPicBullet w:numPicBulletId="2">
    <w:pict>
      <v:shape id="_x0000_i1247" type="#_x0000_t75" style="width:9.45pt;height:9.45pt" o:bullet="t">
        <v:imagedata r:id="rId3" o:title="BD21294_"/>
      </v:shape>
    </w:pict>
  </w:numPicBullet>
  <w:numPicBullet w:numPicBulletId="3">
    <w:pict>
      <v:shape id="_x0000_i1248" type="#_x0000_t75" style="width:11.35pt;height:11.35pt" o:bullet="t">
        <v:imagedata r:id="rId4" o:title="BD15272_"/>
      </v:shape>
    </w:pict>
  </w:numPicBullet>
  <w:abstractNum w:abstractNumId="0">
    <w:nsid w:val="015667B5"/>
    <w:multiLevelType w:val="hybridMultilevel"/>
    <w:tmpl w:val="073E34DA"/>
    <w:lvl w:ilvl="0" w:tplc="FB50CBCC">
      <w:start w:val="1"/>
      <w:numFmt w:val="bullet"/>
      <w:lvlText w:val=""/>
      <w:lvlPicBulletId w:val="3"/>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C5058"/>
    <w:multiLevelType w:val="hybridMultilevel"/>
    <w:tmpl w:val="D444F278"/>
    <w:lvl w:ilvl="0" w:tplc="A0FA129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91539C"/>
    <w:multiLevelType w:val="hybridMultilevel"/>
    <w:tmpl w:val="1EBC6C6A"/>
    <w:lvl w:ilvl="0" w:tplc="CB249ED4">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D03F6B"/>
    <w:multiLevelType w:val="hybridMultilevel"/>
    <w:tmpl w:val="551C6E60"/>
    <w:lvl w:ilvl="0" w:tplc="5CE2A1CE">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B20CC9"/>
    <w:rsid w:val="00027B22"/>
    <w:rsid w:val="00044B3B"/>
    <w:rsid w:val="000C0174"/>
    <w:rsid w:val="001044C0"/>
    <w:rsid w:val="00107DEC"/>
    <w:rsid w:val="00152159"/>
    <w:rsid w:val="00155319"/>
    <w:rsid w:val="00157E1D"/>
    <w:rsid w:val="001C28F7"/>
    <w:rsid w:val="00244602"/>
    <w:rsid w:val="00254F23"/>
    <w:rsid w:val="00280909"/>
    <w:rsid w:val="002852C3"/>
    <w:rsid w:val="00300C8F"/>
    <w:rsid w:val="00370DFC"/>
    <w:rsid w:val="00376300"/>
    <w:rsid w:val="003C1DFB"/>
    <w:rsid w:val="003C21F7"/>
    <w:rsid w:val="003D3DCC"/>
    <w:rsid w:val="003E349B"/>
    <w:rsid w:val="00401A2D"/>
    <w:rsid w:val="00463B17"/>
    <w:rsid w:val="004B08AB"/>
    <w:rsid w:val="00574E95"/>
    <w:rsid w:val="00576D00"/>
    <w:rsid w:val="00584A92"/>
    <w:rsid w:val="005C627F"/>
    <w:rsid w:val="005D4304"/>
    <w:rsid w:val="005F103F"/>
    <w:rsid w:val="005F2C01"/>
    <w:rsid w:val="00610866"/>
    <w:rsid w:val="00616207"/>
    <w:rsid w:val="0067161B"/>
    <w:rsid w:val="00702CE1"/>
    <w:rsid w:val="00704369"/>
    <w:rsid w:val="00741238"/>
    <w:rsid w:val="00762C54"/>
    <w:rsid w:val="00764046"/>
    <w:rsid w:val="00773FD5"/>
    <w:rsid w:val="0079737A"/>
    <w:rsid w:val="007A55E2"/>
    <w:rsid w:val="007F5F17"/>
    <w:rsid w:val="0082107C"/>
    <w:rsid w:val="008514F4"/>
    <w:rsid w:val="008C115B"/>
    <w:rsid w:val="00915D23"/>
    <w:rsid w:val="00932B9E"/>
    <w:rsid w:val="00937064"/>
    <w:rsid w:val="009912A1"/>
    <w:rsid w:val="00994B1C"/>
    <w:rsid w:val="009965BA"/>
    <w:rsid w:val="009A61DA"/>
    <w:rsid w:val="009C09E5"/>
    <w:rsid w:val="00B1200F"/>
    <w:rsid w:val="00B20CC9"/>
    <w:rsid w:val="00B51E11"/>
    <w:rsid w:val="00B57AB6"/>
    <w:rsid w:val="00BB0B50"/>
    <w:rsid w:val="00BD7CC8"/>
    <w:rsid w:val="00C53C52"/>
    <w:rsid w:val="00C56B86"/>
    <w:rsid w:val="00CD4EBD"/>
    <w:rsid w:val="00D15EBD"/>
    <w:rsid w:val="00D97100"/>
    <w:rsid w:val="00DD202E"/>
    <w:rsid w:val="00ED292B"/>
    <w:rsid w:val="00ED5324"/>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character" w:customStyle="1" w:styleId="SansinterligneCar">
    <w:name w:val="Sans interligne Car"/>
    <w:basedOn w:val="Policepardfaut"/>
    <w:link w:val="Sansinterligne"/>
    <w:uiPriority w:val="1"/>
    <w:rsid w:val="00B20CC9"/>
    <w:rPr>
      <w:rFonts w:eastAsiaTheme="minorHAnsi" w:cstheme="minorBidi"/>
      <w:sz w:val="24"/>
      <w:szCs w:val="22"/>
      <w:lang w:eastAsia="en-US"/>
    </w:rPr>
  </w:style>
  <w:style w:type="paragraph" w:customStyle="1" w:styleId="traditionalarabic2">
    <w:name w:val="traditional arabic2"/>
    <w:basedOn w:val="Normal"/>
    <w:link w:val="traditionalarabic2Car"/>
    <w:qFormat/>
    <w:rsid w:val="00B20CC9"/>
    <w:pPr>
      <w:bidi/>
      <w:spacing w:after="120" w:line="192" w:lineRule="auto"/>
      <w:ind w:firstLine="708"/>
      <w:jc w:val="lowKashida"/>
    </w:pPr>
    <w:rPr>
      <w:rFonts w:ascii="Calibri" w:eastAsia="Calibri" w:hAnsi="Calibri" w:cs="Traditional Arabic"/>
      <w:spacing w:val="-12"/>
      <w:sz w:val="32"/>
      <w:szCs w:val="32"/>
      <w:lang w:eastAsia="en-US"/>
    </w:rPr>
  </w:style>
  <w:style w:type="character" w:customStyle="1" w:styleId="traditionalarabic2Car">
    <w:name w:val="traditional arabic2 Car"/>
    <w:basedOn w:val="Policepardfaut"/>
    <w:link w:val="traditionalarabic2"/>
    <w:rsid w:val="00B20CC9"/>
    <w:rPr>
      <w:rFonts w:ascii="Calibri" w:eastAsia="Calibri" w:hAnsi="Calibri" w:cs="Traditional Arabic"/>
      <w:spacing w:val="-12"/>
      <w:sz w:val="32"/>
      <w:szCs w:val="32"/>
      <w:lang w:eastAsia="en-US"/>
    </w:rPr>
  </w:style>
  <w:style w:type="paragraph" w:styleId="Textedebulles">
    <w:name w:val="Balloon Text"/>
    <w:basedOn w:val="Normal"/>
    <w:link w:val="TextedebullesCar"/>
    <w:uiPriority w:val="99"/>
    <w:semiHidden/>
    <w:unhideWhenUsed/>
    <w:rsid w:val="00773FD5"/>
    <w:rPr>
      <w:rFonts w:ascii="Tahoma" w:hAnsi="Tahoma" w:cs="Tahoma"/>
      <w:sz w:val="16"/>
      <w:szCs w:val="16"/>
    </w:rPr>
  </w:style>
  <w:style w:type="character" w:customStyle="1" w:styleId="TextedebullesCar">
    <w:name w:val="Texte de bulles Car"/>
    <w:basedOn w:val="Policepardfaut"/>
    <w:link w:val="Textedebulles"/>
    <w:uiPriority w:val="99"/>
    <w:semiHidden/>
    <w:rsid w:val="00773FD5"/>
    <w:rPr>
      <w:rFonts w:ascii="Tahoma" w:hAnsi="Tahoma" w:cs="Tahoma"/>
      <w:sz w:val="16"/>
      <w:szCs w:val="16"/>
    </w:rPr>
  </w:style>
  <w:style w:type="paragraph" w:styleId="En-tte">
    <w:name w:val="header"/>
    <w:basedOn w:val="Normal"/>
    <w:link w:val="En-tteCar"/>
    <w:uiPriority w:val="99"/>
    <w:semiHidden/>
    <w:unhideWhenUsed/>
    <w:rsid w:val="00773FD5"/>
    <w:pPr>
      <w:tabs>
        <w:tab w:val="center" w:pos="4536"/>
        <w:tab w:val="right" w:pos="9072"/>
      </w:tabs>
    </w:pPr>
  </w:style>
  <w:style w:type="character" w:customStyle="1" w:styleId="En-tteCar">
    <w:name w:val="En-tête Car"/>
    <w:basedOn w:val="Policepardfaut"/>
    <w:link w:val="En-tte"/>
    <w:uiPriority w:val="99"/>
    <w:semiHidden/>
    <w:rsid w:val="00773FD5"/>
    <w:rPr>
      <w:sz w:val="24"/>
      <w:szCs w:val="24"/>
    </w:rPr>
  </w:style>
  <w:style w:type="paragraph" w:styleId="Pieddepage">
    <w:name w:val="footer"/>
    <w:basedOn w:val="Normal"/>
    <w:link w:val="PieddepageCar"/>
    <w:uiPriority w:val="99"/>
    <w:unhideWhenUsed/>
    <w:rsid w:val="00773FD5"/>
    <w:pPr>
      <w:tabs>
        <w:tab w:val="center" w:pos="4536"/>
        <w:tab w:val="right" w:pos="9072"/>
      </w:tabs>
    </w:pPr>
  </w:style>
  <w:style w:type="character" w:customStyle="1" w:styleId="PieddepageCar">
    <w:name w:val="Pied de page Car"/>
    <w:basedOn w:val="Policepardfaut"/>
    <w:link w:val="Pieddepage"/>
    <w:uiPriority w:val="99"/>
    <w:rsid w:val="00773FD5"/>
    <w:rPr>
      <w:sz w:val="24"/>
      <w:szCs w:val="24"/>
    </w:rPr>
  </w:style>
  <w:style w:type="character" w:styleId="Lienhypertexte">
    <w:name w:val="Hyperlink"/>
    <w:basedOn w:val="Policepardfaut"/>
    <w:uiPriority w:val="99"/>
    <w:unhideWhenUsed/>
    <w:rsid w:val="00773F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558</Words>
  <Characters>3074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2011-06-27T11:45:00Z</cp:lastPrinted>
  <dcterms:created xsi:type="dcterms:W3CDTF">2011-06-25T13:48:00Z</dcterms:created>
  <dcterms:modified xsi:type="dcterms:W3CDTF">2011-06-28T18:46:00Z</dcterms:modified>
</cp:coreProperties>
</file>