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0A" w:rsidRPr="00CE66F6" w:rsidRDefault="00AB100A" w:rsidP="00AB100A">
      <w:pPr>
        <w:rPr>
          <w:rFonts w:asciiTheme="majorBidi" w:hAnsiTheme="majorBidi" w:cstheme="majorBidi"/>
        </w:rPr>
      </w:pPr>
      <w:r w:rsidRPr="004D4D8C">
        <w:t> </w:t>
      </w:r>
    </w:p>
    <w:p w:rsidR="00AB100A" w:rsidRDefault="00C52F0F" w:rsidP="00AB100A">
      <w:pPr>
        <w:jc w:val="right"/>
        <w:rPr>
          <w:color w:val="7F7F7F"/>
          <w:sz w:val="32"/>
          <w:szCs w:val="32"/>
        </w:rPr>
      </w:pPr>
      <w:r w:rsidRPr="00C52F0F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9264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AB100A" w:rsidRPr="00191F28" w:rsidTr="00050BC2">
        <w:tc>
          <w:tcPr>
            <w:tcW w:w="9576" w:type="dxa"/>
          </w:tcPr>
          <w:p w:rsidR="00AB100A" w:rsidRPr="00AB100A" w:rsidRDefault="00AB100A" w:rsidP="00050BC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</w:pPr>
          </w:p>
          <w:p w:rsidR="00AB100A" w:rsidRPr="00AB100A" w:rsidRDefault="00AB100A" w:rsidP="00050BC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</w:pPr>
          </w:p>
          <w:p w:rsidR="00AB100A" w:rsidRPr="00E242C3" w:rsidRDefault="00AB100A" w:rsidP="00050BC2">
            <w:pPr>
              <w:jc w:val="center"/>
              <w:rPr>
                <w:color w:val="7F7F7F"/>
                <w:sz w:val="32"/>
                <w:szCs w:val="32"/>
                <w:lang w:val="en-US"/>
              </w:rPr>
            </w:pPr>
            <w:r w:rsidRPr="00E242C3">
              <w:rPr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Sheykh al-Islam Taqî ad-Dîn Ahmad Ibn Taymiyyah</w:t>
            </w:r>
          </w:p>
        </w:tc>
      </w:tr>
    </w:tbl>
    <w:p w:rsidR="00AB100A" w:rsidRPr="00E242C3" w:rsidRDefault="00AB100A" w:rsidP="00AB100A">
      <w:pPr>
        <w:jc w:val="right"/>
        <w:rPr>
          <w:color w:val="7F7F7F"/>
          <w:sz w:val="32"/>
          <w:szCs w:val="32"/>
          <w:lang w:val="en-US"/>
        </w:rPr>
      </w:pPr>
    </w:p>
    <w:p w:rsidR="00AB100A" w:rsidRPr="00E242C3" w:rsidRDefault="00C52F0F" w:rsidP="00AB100A">
      <w:pPr>
        <w:jc w:val="center"/>
        <w:rPr>
          <w:rFonts w:asciiTheme="majorBidi" w:hAnsiTheme="majorBidi" w:cstheme="majorBidi"/>
          <w:b/>
          <w:bCs/>
          <w:i/>
          <w:iCs/>
          <w:color w:val="FFFFFF" w:themeColor="background1"/>
          <w:sz w:val="32"/>
          <w:szCs w:val="32"/>
          <w:lang w:val="en-US"/>
        </w:rPr>
      </w:pPr>
      <w:r w:rsidRPr="00C52F0F">
        <w:rPr>
          <w:noProof/>
          <w:color w:val="C4BC96"/>
          <w:sz w:val="32"/>
          <w:szCs w:val="32"/>
          <w:lang w:eastAsia="en-US"/>
        </w:rPr>
        <w:pict>
          <v:rect id="_x0000_s1029" style="position:absolute;left:0;text-align:left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9"/>
                  </w:tblGrid>
                  <w:tr w:rsidR="00AB100A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AB100A" w:rsidRPr="00C20D4E" w:rsidRDefault="00AB100A" w:rsidP="00CB7712">
                        <w:pPr>
                          <w:jc w:val="center"/>
                          <w:rPr>
                            <w:smallCaps/>
                            <w:sz w:val="40"/>
                            <w:szCs w:val="40"/>
                          </w:rPr>
                        </w:pPr>
                        <w:r>
                          <w:rPr>
                            <w:smallCaps/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4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AB100A" w:rsidRPr="0081134C" w:rsidRDefault="0081134C" w:rsidP="0081134C">
                        <w:pPr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81134C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L’innovation de la fête de la naissance du Prophète « Al-Mawlid »</w:t>
                        </w:r>
                      </w:p>
                    </w:tc>
                  </w:tr>
                </w:tbl>
                <w:p w:rsidR="00AB100A" w:rsidRDefault="00AB100A" w:rsidP="00AB100A">
                  <w:pPr>
                    <w:pStyle w:val="Sansinterligne"/>
                    <w:spacing w:line="14" w:lineRule="exact"/>
                  </w:pPr>
                </w:p>
              </w:txbxContent>
            </v:textbox>
            <w10:wrap anchorx="page" anchory="page"/>
          </v:rect>
        </w:pict>
      </w:r>
      <w:r w:rsidR="00AB100A" w:rsidRPr="00E242C3">
        <w:rPr>
          <w:lang w:val="en-US"/>
        </w:rPr>
        <w:br w:type="page"/>
      </w:r>
    </w:p>
    <w:p w:rsidR="00AB100A" w:rsidRDefault="00AB100A" w:rsidP="00AB100A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571750" cy="1771650"/>
            <wp:effectExtent l="19050" t="0" r="0" b="0"/>
            <wp:docPr id="10" name="Image 1" descr="bismill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2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00A" w:rsidRPr="00EB7325" w:rsidRDefault="00AB100A" w:rsidP="00AB100A">
      <w:pPr>
        <w:jc w:val="center"/>
        <w:rPr>
          <w:lang w:val="en-US"/>
        </w:rPr>
      </w:pPr>
    </w:p>
    <w:p w:rsidR="00105E6C" w:rsidRDefault="00105E6C"/>
    <w:p w:rsidR="00191F28" w:rsidRDefault="00105E6C">
      <w:r>
        <w:t>Ce qui est innové par certains est une imitation des Nazaréens dans la célébration de la fête de la naissance de Jésus (‘</w:t>
      </w:r>
      <w:proofErr w:type="spellStart"/>
      <w:r>
        <w:t>Issâ</w:t>
      </w:r>
      <w:proofErr w:type="spellEnd"/>
      <w:r>
        <w:t>), soit une manifestation d’amour et d’admiration pour le Prophète</w:t>
      </w:r>
      <w:r w:rsidR="00191F28">
        <w:t xml:space="preserve"> </w:t>
      </w:r>
      <w:r w:rsidR="00191F28">
        <w:rPr>
          <w:rFonts w:asciiTheme="majorBidi" w:hAnsiTheme="majorBidi" w:cstheme="majorBidi"/>
        </w:rPr>
        <w:t>-</w:t>
      </w:r>
      <w:proofErr w:type="spellStart"/>
      <w:r w:rsidR="00191F28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191F28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191F28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191F28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191F28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191F28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91F28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191F28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91F28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191F28">
        <w:rPr>
          <w:rFonts w:asciiTheme="majorBidi" w:hAnsiTheme="majorBidi" w:cstheme="majorBidi"/>
        </w:rPr>
        <w:t>-</w:t>
      </w:r>
      <w:r>
        <w:t xml:space="preserve"> et cela malgré les divergences existantes sur la date de sa naissance, et le fait que les compagnons ne l’aient pas fêté. </w:t>
      </w:r>
    </w:p>
    <w:p w:rsidR="00191F28" w:rsidRDefault="00191F28"/>
    <w:p w:rsidR="00105E6C" w:rsidRDefault="00105E6C">
      <w:r>
        <w:t xml:space="preserve">Il est évident que si cette fête était un bien sûr ou probable, les Compagnons </w:t>
      </w:r>
      <w:r w:rsidR="00191F28">
        <w:t>-</w:t>
      </w:r>
      <w:r w:rsidR="00191F28" w:rsidRPr="00B745A3">
        <w:rPr>
          <w:i/>
          <w:iCs/>
        </w:rPr>
        <w:t>qu’All</w:t>
      </w:r>
      <w:r w:rsidR="00191F28">
        <w:rPr>
          <w:i/>
          <w:iCs/>
        </w:rPr>
        <w:t>â</w:t>
      </w:r>
      <w:r w:rsidR="00191F28" w:rsidRPr="00B745A3">
        <w:rPr>
          <w:i/>
          <w:iCs/>
        </w:rPr>
        <w:t>h l</w:t>
      </w:r>
      <w:r w:rsidR="00191F28">
        <w:rPr>
          <w:i/>
          <w:iCs/>
        </w:rPr>
        <w:t xml:space="preserve">es </w:t>
      </w:r>
      <w:r w:rsidR="00191F28" w:rsidRPr="00B745A3">
        <w:rPr>
          <w:i/>
          <w:iCs/>
        </w:rPr>
        <w:t>agrée</w:t>
      </w:r>
      <w:r w:rsidR="00191F28">
        <w:t xml:space="preserve">- </w:t>
      </w:r>
      <w:r>
        <w:t xml:space="preserve">nous auraient devancé, car ils aimaient et admiraient le Prophète </w:t>
      </w:r>
      <w:r w:rsidR="00191F28">
        <w:rPr>
          <w:rFonts w:asciiTheme="majorBidi" w:hAnsiTheme="majorBidi" w:cstheme="majorBidi"/>
        </w:rPr>
        <w:t>-</w:t>
      </w:r>
      <w:proofErr w:type="spellStart"/>
      <w:r w:rsidR="00191F28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191F28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191F28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191F28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191F28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191F28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91F28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191F28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91F28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191F28">
        <w:rPr>
          <w:rFonts w:asciiTheme="majorBidi" w:hAnsiTheme="majorBidi" w:cstheme="majorBidi"/>
        </w:rPr>
        <w:t xml:space="preserve">- </w:t>
      </w:r>
      <w:r>
        <w:t xml:space="preserve">plus que nous ne pouvons le faire, et étaient très désireux de faire le bien. </w:t>
      </w:r>
    </w:p>
    <w:p w:rsidR="00105E6C" w:rsidRDefault="00105E6C"/>
    <w:p w:rsidR="00191F28" w:rsidRDefault="00105E6C" w:rsidP="00105E6C">
      <w:r>
        <w:t xml:space="preserve">Cependant, cet amour et cette admiration consistaient à lui obéir, à le suivre, à observer ses ordres, à faire vivre sa </w:t>
      </w:r>
      <w:proofErr w:type="spellStart"/>
      <w:r>
        <w:t>Sunnah</w:t>
      </w:r>
      <w:proofErr w:type="spellEnd"/>
      <w:r>
        <w:t xml:space="preserve">, de manière </w:t>
      </w:r>
      <w:r w:rsidR="00191F28">
        <w:t>apparenté</w:t>
      </w:r>
      <w:r>
        <w:t xml:space="preserve"> ou cachée, à propager son message et à faire la guerre sainte (</w:t>
      </w:r>
      <w:r w:rsidRPr="00105E6C">
        <w:rPr>
          <w:i/>
          <w:iCs/>
        </w:rPr>
        <w:t>Al-</w:t>
      </w:r>
      <w:proofErr w:type="spellStart"/>
      <w:r w:rsidRPr="00105E6C">
        <w:rPr>
          <w:i/>
          <w:iCs/>
        </w:rPr>
        <w:t>Jihâd</w:t>
      </w:r>
      <w:proofErr w:type="spellEnd"/>
      <w:r>
        <w:t xml:space="preserve">) par le cœur, la main et la langue. </w:t>
      </w:r>
    </w:p>
    <w:p w:rsidR="00191F28" w:rsidRDefault="00191F28" w:rsidP="00105E6C"/>
    <w:p w:rsidR="00105E6C" w:rsidRDefault="00105E6C" w:rsidP="00105E6C">
      <w:r>
        <w:t>Ceci est la ligne de conduite des premiers musulmans parmi les émigrés (</w:t>
      </w:r>
      <w:proofErr w:type="spellStart"/>
      <w:r w:rsidRPr="00105E6C">
        <w:rPr>
          <w:i/>
          <w:iCs/>
        </w:rPr>
        <w:t>Muhâjir</w:t>
      </w:r>
      <w:r>
        <w:rPr>
          <w:i/>
          <w:iCs/>
        </w:rPr>
        <w:t>î</w:t>
      </w:r>
      <w:r w:rsidRPr="00105E6C">
        <w:rPr>
          <w:i/>
          <w:iCs/>
        </w:rPr>
        <w:t>nes</w:t>
      </w:r>
      <w:proofErr w:type="spellEnd"/>
      <w:r>
        <w:t xml:space="preserve">), les </w:t>
      </w:r>
      <w:proofErr w:type="spellStart"/>
      <w:r>
        <w:t>Ansars</w:t>
      </w:r>
      <w:proofErr w:type="spellEnd"/>
      <w:r>
        <w:t xml:space="preserve"> et ceux qui les ont suivi dans la bienfaisance. » </w:t>
      </w:r>
    </w:p>
    <w:p w:rsidR="00105E6C" w:rsidRDefault="00105E6C" w:rsidP="00105E6C"/>
    <w:p w:rsidR="00105E6C" w:rsidRDefault="00105E6C" w:rsidP="00105E6C"/>
    <w:p w:rsidR="00105E6C" w:rsidRDefault="00105E6C" w:rsidP="00105E6C">
      <w:r w:rsidRPr="00105E6C">
        <w:rPr>
          <w:b/>
          <w:bCs/>
          <w:u w:val="single"/>
        </w:rPr>
        <w:t>Source</w:t>
      </w:r>
      <w:r>
        <w:t xml:space="preserve"> : </w:t>
      </w:r>
      <w:proofErr w:type="spellStart"/>
      <w:r>
        <w:t>Iqtida</w:t>
      </w:r>
      <w:proofErr w:type="spellEnd"/>
      <w:r>
        <w:t>’ al-</w:t>
      </w:r>
      <w:proofErr w:type="spellStart"/>
      <w:r>
        <w:t>Sirrat</w:t>
      </w:r>
      <w:proofErr w:type="spellEnd"/>
      <w:r>
        <w:t xml:space="preserve"> al-</w:t>
      </w:r>
      <w:proofErr w:type="spellStart"/>
      <w:r>
        <w:t>Moustaqim</w:t>
      </w:r>
      <w:proofErr w:type="spellEnd"/>
      <w:r>
        <w:t>, tome 2, page 615.</w:t>
      </w:r>
    </w:p>
    <w:sectPr w:rsidR="00105E6C" w:rsidSect="00191F28">
      <w:footerReference w:type="default" r:id="rId8"/>
      <w:pgSz w:w="11906" w:h="16838" w:code="9"/>
      <w:pgMar w:top="1417" w:right="1417" w:bottom="1417" w:left="1417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21" w:rsidRDefault="00E27321" w:rsidP="0081134C">
      <w:r>
        <w:separator/>
      </w:r>
    </w:p>
  </w:endnote>
  <w:endnote w:type="continuationSeparator" w:id="0">
    <w:p w:rsidR="00E27321" w:rsidRDefault="00E27321" w:rsidP="0081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727"/>
      <w:docPartObj>
        <w:docPartGallery w:val="Page Numbers (Bottom of Page)"/>
        <w:docPartUnique/>
      </w:docPartObj>
    </w:sdtPr>
    <w:sdtContent>
      <w:p w:rsidR="0081134C" w:rsidRDefault="00C52F0F" w:rsidP="0081134C">
        <w:pPr>
          <w:pStyle w:val="Pieddepage"/>
          <w:jc w:val="right"/>
        </w:pPr>
        <w:fldSimple w:instr=" PAGE   \* MERGEFORMAT ">
          <w:r w:rsidR="00191F28">
            <w:rPr>
              <w:noProof/>
            </w:rPr>
            <w:t>2</w:t>
          </w:r>
        </w:fldSimple>
      </w:p>
    </w:sdtContent>
  </w:sdt>
  <w:sdt>
    <w:sdtPr>
      <w:rPr>
        <w:rFonts w:ascii="Corbel" w:hAnsi="Corbel"/>
        <w:b/>
        <w:bCs/>
        <w:sz w:val="28"/>
        <w:szCs w:val="28"/>
      </w:rPr>
      <w:id w:val="66406374"/>
      <w:docPartObj>
        <w:docPartGallery w:val="Page Numbers (Bottom of Page)"/>
        <w:docPartUnique/>
      </w:docPartObj>
    </w:sdtPr>
    <w:sdtContent>
      <w:p w:rsidR="0081134C" w:rsidRPr="0081134C" w:rsidRDefault="00C52F0F" w:rsidP="0081134C">
        <w:pPr>
          <w:pStyle w:val="Pieddepage"/>
          <w:jc w:val="center"/>
          <w:rPr>
            <w:rFonts w:ascii="Corbel" w:hAnsi="Corbel"/>
            <w:b/>
            <w:bCs/>
            <w:sz w:val="28"/>
            <w:szCs w:val="28"/>
          </w:rPr>
        </w:pPr>
        <w:hyperlink r:id="rId1" w:history="1">
          <w:r w:rsidR="0081134C" w:rsidRPr="0081134C">
            <w:rPr>
              <w:rStyle w:val="Lienhypertexte"/>
              <w:rFonts w:ascii="Corbel" w:eastAsiaTheme="majorEastAsia" w:hAnsi="Corbel"/>
              <w:b/>
              <w:bCs/>
              <w:sz w:val="28"/>
              <w:szCs w:val="28"/>
            </w:rPr>
            <w:t>http://bibliotheque-islamique-coran-sunna.over-blog.com/</w:t>
          </w:r>
          <w:r w:rsidRPr="00C52F0F">
            <w:rPr>
              <w:rStyle w:val="Lienhypertexte"/>
              <w:rFonts w:ascii="Corbel" w:eastAsiaTheme="majorEastAsia" w:hAnsi="Corbel"/>
              <w:b/>
              <w:bCs/>
              <w:color w:val="auto"/>
              <w:sz w:val="28"/>
              <w:szCs w:val="28"/>
              <w:lang w:eastAsia="zh-TW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  <w10:wrap anchorx="margin" anchory="page"/>
              </v:shape>
            </w:pict>
          </w:r>
        </w:hyperlink>
      </w:p>
    </w:sdtContent>
  </w:sdt>
  <w:p w:rsidR="0081134C" w:rsidRDefault="008113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21" w:rsidRDefault="00E27321" w:rsidP="0081134C">
      <w:r>
        <w:separator/>
      </w:r>
    </w:p>
  </w:footnote>
  <w:footnote w:type="continuationSeparator" w:id="0">
    <w:p w:rsidR="00E27321" w:rsidRDefault="00E27321" w:rsidP="00811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E6C"/>
    <w:rsid w:val="00027B22"/>
    <w:rsid w:val="00044B3B"/>
    <w:rsid w:val="000C0174"/>
    <w:rsid w:val="001044C0"/>
    <w:rsid w:val="00105E6C"/>
    <w:rsid w:val="00107DEC"/>
    <w:rsid w:val="00152159"/>
    <w:rsid w:val="00155319"/>
    <w:rsid w:val="00191F28"/>
    <w:rsid w:val="001C28F7"/>
    <w:rsid w:val="00244602"/>
    <w:rsid w:val="00275D27"/>
    <w:rsid w:val="00280909"/>
    <w:rsid w:val="002852C3"/>
    <w:rsid w:val="00300C8F"/>
    <w:rsid w:val="00376300"/>
    <w:rsid w:val="003C1DFB"/>
    <w:rsid w:val="003C21F7"/>
    <w:rsid w:val="003D3DCC"/>
    <w:rsid w:val="00401A2D"/>
    <w:rsid w:val="00463B17"/>
    <w:rsid w:val="004B08AB"/>
    <w:rsid w:val="00574E95"/>
    <w:rsid w:val="00576D00"/>
    <w:rsid w:val="00584A92"/>
    <w:rsid w:val="005C627F"/>
    <w:rsid w:val="005D4304"/>
    <w:rsid w:val="005F2C01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F5F17"/>
    <w:rsid w:val="0081134C"/>
    <w:rsid w:val="008514F4"/>
    <w:rsid w:val="008C115B"/>
    <w:rsid w:val="00915D23"/>
    <w:rsid w:val="00932B9E"/>
    <w:rsid w:val="00937064"/>
    <w:rsid w:val="009912A1"/>
    <w:rsid w:val="00994B1C"/>
    <w:rsid w:val="009965BA"/>
    <w:rsid w:val="009A61DA"/>
    <w:rsid w:val="009B7D67"/>
    <w:rsid w:val="00AB100A"/>
    <w:rsid w:val="00B1200F"/>
    <w:rsid w:val="00B51E11"/>
    <w:rsid w:val="00B93A8E"/>
    <w:rsid w:val="00BB0B50"/>
    <w:rsid w:val="00BD7CC8"/>
    <w:rsid w:val="00C52F0F"/>
    <w:rsid w:val="00C53C52"/>
    <w:rsid w:val="00C56B86"/>
    <w:rsid w:val="00CD4EBD"/>
    <w:rsid w:val="00D15EBD"/>
    <w:rsid w:val="00DD202E"/>
    <w:rsid w:val="00E27321"/>
    <w:rsid w:val="00ED292B"/>
    <w:rsid w:val="00ED5324"/>
    <w:rsid w:val="00EE3A29"/>
    <w:rsid w:val="00F15898"/>
    <w:rsid w:val="00F3066E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AB100A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0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0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11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1134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1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134C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11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2011-06-18T13:02:00Z</dcterms:created>
  <dcterms:modified xsi:type="dcterms:W3CDTF">2011-06-19T11:04:00Z</dcterms:modified>
</cp:coreProperties>
</file>