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Default="00300924" w:rsidP="00300924"/>
    <w:p w:rsidR="00300924" w:rsidRPr="00CE66F6" w:rsidRDefault="00300924" w:rsidP="00300924">
      <w:pPr>
        <w:rPr>
          <w:rFonts w:asciiTheme="majorBidi" w:hAnsiTheme="majorBidi" w:cstheme="majorBidi"/>
        </w:rPr>
      </w:pPr>
    </w:p>
    <w:p w:rsidR="00300924" w:rsidRDefault="00446337" w:rsidP="00300924">
      <w:pPr>
        <w:jc w:val="right"/>
        <w:rPr>
          <w:color w:val="7F7F7F"/>
          <w:sz w:val="32"/>
          <w:szCs w:val="32"/>
        </w:rPr>
      </w:pPr>
      <w:r w:rsidRPr="00446337">
        <w:rPr>
          <w:noProof/>
          <w:color w:val="C4BC96"/>
          <w:sz w:val="32"/>
          <w:szCs w:val="32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300924" w:rsidRPr="00D10DD1" w:rsidTr="00704301">
        <w:tc>
          <w:tcPr>
            <w:tcW w:w="9576" w:type="dxa"/>
          </w:tcPr>
          <w:p w:rsidR="00300924" w:rsidRDefault="00300924" w:rsidP="007043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00924" w:rsidRDefault="00300924" w:rsidP="0070430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300924" w:rsidRPr="00986691" w:rsidRDefault="00300924" w:rsidP="0098669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98669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Ibn </w:t>
            </w:r>
            <w:r w:rsidR="00986691" w:rsidRPr="0098669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Qayyîm A</w:t>
            </w:r>
            <w:r w:rsidR="0098669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l-Jawziyya</w:t>
            </w:r>
          </w:p>
        </w:tc>
      </w:tr>
    </w:tbl>
    <w:p w:rsidR="00300924" w:rsidRPr="00986691" w:rsidRDefault="00300924" w:rsidP="00300924">
      <w:pPr>
        <w:jc w:val="right"/>
        <w:rPr>
          <w:color w:val="7F7F7F"/>
          <w:sz w:val="32"/>
          <w:szCs w:val="32"/>
        </w:rPr>
      </w:pPr>
    </w:p>
    <w:p w:rsidR="00300924" w:rsidRPr="00986691" w:rsidRDefault="00446337" w:rsidP="00300924">
      <w:r w:rsidRPr="00446337">
        <w:rPr>
          <w:noProof/>
          <w:color w:val="C4BC96"/>
          <w:sz w:val="32"/>
          <w:szCs w:val="32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43"/>
                  </w:tblGrid>
                  <w:tr w:rsidR="00300924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300924" w:rsidRPr="00344919" w:rsidRDefault="00300924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  <w:lang w:eastAsia="fr-FR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300924" w:rsidRPr="00986691" w:rsidRDefault="00300924" w:rsidP="00986691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</w:pPr>
                        <w:r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Exégèse [Tafsir] : « </w:t>
                        </w:r>
                        <w:r w:rsidR="00986691" w:rsidRPr="00986691">
                          <w:rPr>
                            <w:rStyle w:val="SansinterligneCar"/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Et lorsque tu [Muhammad] te trouves parmi eux, et que tu les diriges dans la Salât..</w:t>
                        </w:r>
                        <w:r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» ; Sourate </w:t>
                        </w:r>
                        <w:r w:rsidR="00986691"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4</w:t>
                        </w:r>
                        <w:r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 xml:space="preserve"> [A</w:t>
                        </w:r>
                        <w:r w:rsidR="00986691"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</w:t>
                        </w:r>
                        <w:r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-</w:t>
                        </w:r>
                        <w:r w:rsidR="00986691"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Nissa’</w:t>
                        </w:r>
                        <w:r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], Verset 10</w:t>
                        </w:r>
                        <w:r w:rsidR="00986691" w:rsidRPr="00986691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2</w:t>
                        </w:r>
                      </w:p>
                    </w:tc>
                  </w:tr>
                </w:tbl>
                <w:p w:rsidR="00300924" w:rsidRPr="00344919" w:rsidRDefault="00300924" w:rsidP="00300924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300924" w:rsidRPr="00986691">
        <w:br w:type="page"/>
      </w:r>
    </w:p>
    <w:p w:rsidR="00300924" w:rsidRDefault="00300924" w:rsidP="00300924">
      <w:pPr>
        <w:pStyle w:val="Titre2"/>
        <w:jc w:val="center"/>
        <w:rPr>
          <w:b w:val="0"/>
          <w:bCs w:val="0"/>
        </w:rPr>
      </w:pPr>
      <w:r>
        <w:rPr>
          <w:b w:val="0"/>
          <w:bCs w:val="0"/>
          <w:noProof/>
          <w:lang w:eastAsia="fr-FR"/>
        </w:rPr>
        <w:lastRenderedPageBreak/>
        <w:drawing>
          <wp:inline distT="0" distB="0" distL="0" distR="0">
            <wp:extent cx="3810000" cy="1905000"/>
            <wp:effectExtent l="0" t="0" r="0" b="0"/>
            <wp:docPr id="1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24" w:rsidRPr="00916CDE" w:rsidRDefault="00300924" w:rsidP="00300924">
      <w:pPr>
        <w:pStyle w:val="Sansinterligne"/>
        <w:rPr>
          <w:rStyle w:val="Accentuation"/>
          <w:rFonts w:asciiTheme="majorBidi" w:hAnsiTheme="majorBidi" w:cstheme="majorBidi"/>
          <w:i w:val="0"/>
          <w:iCs w:val="0"/>
          <w:color w:val="262626" w:themeColor="text1" w:themeTint="D9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  <w:r w:rsidRPr="00916CDE">
        <w:rPr>
          <w:rFonts w:asciiTheme="majorBidi" w:hAnsiTheme="majorBidi" w:cstheme="majorBidi"/>
          <w:color w:val="262626" w:themeColor="text1" w:themeTint="D9"/>
        </w:rPr>
        <w:br/>
      </w:r>
    </w:p>
    <w:p w:rsidR="00300924" w:rsidRPr="00AF284A" w:rsidRDefault="00300924" w:rsidP="00ED7D0C">
      <w:pPr>
        <w:pStyle w:val="Sansinterligne"/>
        <w:jc w:val="center"/>
        <w:rPr>
          <w:rFonts w:asciiTheme="majorBidi" w:hAnsiTheme="majorBidi" w:cstheme="majorBidi"/>
          <w:szCs w:val="24"/>
        </w:rPr>
      </w:pP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« </w:t>
      </w:r>
      <w:r w:rsidR="00ED7D0C"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>Et lorsque tu [Muhammad] te trouves parmi eux, et que tu les diriges dans la Salât, qu’un groupe d’ entre eux se mette debout en ta compa</w:t>
      </w:r>
      <w:r w:rsidR="00ED7D0C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 xml:space="preserve">gnie, en gardant leurs armes. </w:t>
      </w:r>
      <w:r w:rsidR="00ED7D0C"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>Puis lorsqu’ ils ont terminé la prosternation qu’ils passent</w:t>
      </w:r>
      <w:r w:rsidR="00ED7D0C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 xml:space="preserve"> derrière vous et que vienne l’autre groupe, ceux qui n’</w:t>
      </w:r>
      <w:r w:rsidR="00ED7D0C" w:rsidRPr="004D58DE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>ont pas encore célébré la Salât. À ceux-ci alors d’accomplir la Salât avec toi.</w:t>
      </w:r>
      <w:r w:rsidR="00ED7D0C">
        <w:rPr>
          <w:rFonts w:asciiTheme="majorBidi" w:eastAsia="Times New Roman" w:hAnsiTheme="majorBidi" w:cstheme="majorBidi"/>
          <w:b/>
          <w:bCs/>
          <w:color w:val="FF0000"/>
          <w:szCs w:val="24"/>
          <w:lang w:eastAsia="fr-FR"/>
        </w:rPr>
        <w:t xml:space="preserve"> </w:t>
      </w:r>
      <w:r w:rsidRPr="00AF284A">
        <w:rPr>
          <w:rStyle w:val="Accentuation"/>
          <w:rFonts w:asciiTheme="majorBidi" w:hAnsiTheme="majorBidi" w:cstheme="majorBidi"/>
          <w:i w:val="0"/>
          <w:iCs w:val="0"/>
          <w:szCs w:val="24"/>
        </w:rPr>
        <w:t>»</w:t>
      </w:r>
    </w:p>
    <w:p w:rsidR="00300924" w:rsidRPr="00D74B27" w:rsidRDefault="00300924" w:rsidP="00ED7D0C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>[S</w:t>
      </w:r>
      <w:r>
        <w:rPr>
          <w:rFonts w:asciiTheme="majorBidi" w:hAnsiTheme="majorBidi" w:cstheme="majorBidi"/>
        </w:rPr>
        <w:t>ourate</w:t>
      </w:r>
      <w:r w:rsidRPr="00D74B27">
        <w:rPr>
          <w:rFonts w:asciiTheme="majorBidi" w:hAnsiTheme="majorBidi" w:cstheme="majorBidi"/>
        </w:rPr>
        <w:t xml:space="preserve"> </w:t>
      </w:r>
      <w:r w:rsidR="00ED7D0C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, Verset</w:t>
      </w:r>
      <w:r w:rsidRPr="00D74B27">
        <w:rPr>
          <w:rFonts w:asciiTheme="majorBidi" w:hAnsiTheme="majorBidi" w:cstheme="majorBidi"/>
        </w:rPr>
        <w:t xml:space="preserve"> 10</w:t>
      </w:r>
      <w:r w:rsidR="00ED7D0C">
        <w:rPr>
          <w:rFonts w:asciiTheme="majorBidi" w:hAnsiTheme="majorBidi" w:cstheme="majorBidi"/>
        </w:rPr>
        <w:t>2</w:t>
      </w:r>
      <w:r w:rsidRPr="00D74B27">
        <w:rPr>
          <w:rFonts w:asciiTheme="majorBidi" w:hAnsiTheme="majorBidi" w:cstheme="majorBidi"/>
        </w:rPr>
        <w:t>]</w:t>
      </w:r>
    </w:p>
    <w:p w:rsidR="00300924" w:rsidRPr="00D74B27" w:rsidRDefault="00300924" w:rsidP="00300924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300924" w:rsidRDefault="00300924" w:rsidP="00300924">
      <w:pPr>
        <w:pStyle w:val="Sansinterligne"/>
        <w:rPr>
          <w:rFonts w:asciiTheme="majorBidi" w:hAnsiTheme="majorBidi" w:cstheme="majorBidi"/>
          <w:color w:val="000000"/>
        </w:rPr>
      </w:pPr>
      <w:r w:rsidRPr="00916CDE">
        <w:rPr>
          <w:rFonts w:asciiTheme="majorBidi" w:hAnsiTheme="majorBidi" w:cstheme="majorBidi"/>
          <w:color w:val="333366"/>
        </w:rPr>
        <w:br/>
      </w:r>
    </w:p>
    <w:p w:rsidR="00300924" w:rsidRPr="00916CDE" w:rsidRDefault="00300924" w:rsidP="00300924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300924" w:rsidRPr="00916CDE" w:rsidRDefault="00300924" w:rsidP="00300924">
      <w:pPr>
        <w:pStyle w:val="Sansinterligne"/>
        <w:rPr>
          <w:rFonts w:asciiTheme="majorBidi" w:hAnsiTheme="majorBidi" w:cstheme="majorBidi"/>
          <w:color w:val="000000"/>
        </w:rPr>
      </w:pPr>
    </w:p>
    <w:p w:rsidR="00300924" w:rsidRDefault="00300924" w:rsidP="00300924">
      <w:pPr>
        <w:pStyle w:val="Sansinterligne"/>
        <w:rPr>
          <w:rFonts w:asciiTheme="majorBidi" w:hAnsiTheme="majorBidi" w:cstheme="majorBidi"/>
          <w:color w:val="000000"/>
        </w:rPr>
      </w:pPr>
    </w:p>
    <w:p w:rsidR="00300924" w:rsidRPr="00AF284A" w:rsidRDefault="00ED7D0C" w:rsidP="00300924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L’Imâm Ibn Al-Qayyîm</w:t>
      </w:r>
      <w:r w:rsidR="00300924" w:rsidRPr="00D74B27">
        <w:rPr>
          <w:rFonts w:asciiTheme="majorBidi" w:hAnsiTheme="majorBidi" w:cstheme="majorBidi"/>
        </w:rPr>
        <w:t xml:space="preserve"> -</w:t>
      </w:r>
      <w:r w:rsidR="00300924" w:rsidRPr="00AF284A">
        <w:rPr>
          <w:rFonts w:asciiTheme="majorBidi" w:hAnsiTheme="majorBidi" w:cstheme="majorBidi"/>
          <w:i/>
          <w:iCs/>
        </w:rPr>
        <w:t>qu’Allâh lui fasse Miséricorde</w:t>
      </w:r>
      <w:r w:rsidR="00300924" w:rsidRPr="00D74B27">
        <w:rPr>
          <w:rFonts w:asciiTheme="majorBidi" w:hAnsiTheme="majorBidi" w:cstheme="majorBidi"/>
        </w:rPr>
        <w:t xml:space="preserve">- a dit : </w:t>
      </w:r>
    </w:p>
    <w:p w:rsidR="00ED7D0C" w:rsidRDefault="002443FD" w:rsidP="00ED7D0C">
      <w:pPr>
        <w:pStyle w:val="Sansinterligne"/>
        <w:rPr>
          <w:b/>
          <w:bCs/>
          <w:color w:val="00B050"/>
          <w:lang w:eastAsia="fr-FR"/>
        </w:rPr>
      </w:pPr>
      <w:r w:rsidRPr="004D58DE">
        <w:rPr>
          <w:lang w:eastAsia="fr-FR"/>
        </w:rPr>
        <w:t xml:space="preserve">« </w:t>
      </w:r>
      <w:r w:rsidRPr="00ED7D0C">
        <w:rPr>
          <w:b/>
          <w:bCs/>
          <w:color w:val="00B050"/>
          <w:lang w:eastAsia="fr-FR"/>
        </w:rPr>
        <w:t>On peut tirer du verset une preuve [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dalîl</w:t>
      </w:r>
      <w:proofErr w:type="spellEnd"/>
      <w:r w:rsidRPr="00ED7D0C">
        <w:rPr>
          <w:b/>
          <w:bCs/>
          <w:color w:val="00B050"/>
          <w:lang w:eastAsia="fr-FR"/>
        </w:rPr>
        <w:t xml:space="preserve">] de différentes façons </w:t>
      </w:r>
      <w:proofErr w:type="gramStart"/>
      <w:r w:rsidRPr="00ED7D0C">
        <w:rPr>
          <w:b/>
          <w:bCs/>
          <w:color w:val="00B050"/>
          <w:lang w:eastAsia="fr-FR"/>
        </w:rPr>
        <w:t>:</w:t>
      </w:r>
      <w:proofErr w:type="gramEnd"/>
      <w:r w:rsidRPr="00ED7D0C">
        <w:rPr>
          <w:b/>
          <w:bCs/>
          <w:color w:val="00B050"/>
          <w:lang w:eastAsia="fr-FR"/>
        </w:rPr>
        <w:br/>
      </w:r>
      <w:r w:rsidRPr="00ED7D0C">
        <w:rPr>
          <w:b/>
          <w:bCs/>
          <w:color w:val="00B050"/>
          <w:lang w:eastAsia="fr-FR"/>
        </w:rPr>
        <w:br/>
        <w:t>L’une d’elle est qu’A</w:t>
      </w:r>
      <w:r w:rsidR="00ED7D0C" w:rsidRPr="00ED7D0C">
        <w:rPr>
          <w:b/>
          <w:bCs/>
          <w:color w:val="00B050"/>
          <w:lang w:eastAsia="fr-FR"/>
        </w:rPr>
        <w:t>ll</w:t>
      </w:r>
      <w:r w:rsidRPr="00ED7D0C">
        <w:rPr>
          <w:b/>
          <w:bCs/>
          <w:color w:val="00B050"/>
          <w:lang w:eastAsia="fr-FR"/>
        </w:rPr>
        <w:t xml:space="preserve">âh </w:t>
      </w:r>
      <w:r w:rsidR="00ED7D0C" w:rsidRPr="00ED7D0C">
        <w:rPr>
          <w:b/>
          <w:bCs/>
          <w:color w:val="00B050"/>
        </w:rPr>
        <w:t>-</w:t>
      </w:r>
      <w:proofErr w:type="spellStart"/>
      <w:r w:rsidR="00ED7D0C" w:rsidRPr="00ED7D0C">
        <w:rPr>
          <w:b/>
          <w:bCs/>
          <w:i/>
          <w:iCs/>
          <w:color w:val="00B050"/>
        </w:rPr>
        <w:t>Sub</w:t>
      </w:r>
      <w:r w:rsidR="00ED7D0C" w:rsidRPr="00ED7D0C">
        <w:rPr>
          <w:b/>
          <w:bCs/>
          <w:i/>
          <w:iCs/>
          <w:color w:val="00B050"/>
          <w:u w:val="single"/>
        </w:rPr>
        <w:t>h</w:t>
      </w:r>
      <w:r w:rsidR="00ED7D0C" w:rsidRPr="00ED7D0C">
        <w:rPr>
          <w:b/>
          <w:bCs/>
          <w:i/>
          <w:iCs/>
          <w:color w:val="00B050"/>
        </w:rPr>
        <w:t>ânahu</w:t>
      </w:r>
      <w:proofErr w:type="spellEnd"/>
      <w:r w:rsidR="00ED7D0C" w:rsidRPr="00ED7D0C">
        <w:rPr>
          <w:b/>
          <w:bCs/>
          <w:i/>
          <w:iCs/>
          <w:color w:val="00B050"/>
        </w:rPr>
        <w:t xml:space="preserve"> </w:t>
      </w:r>
      <w:proofErr w:type="spellStart"/>
      <w:r w:rsidR="00ED7D0C" w:rsidRPr="00ED7D0C">
        <w:rPr>
          <w:b/>
          <w:bCs/>
          <w:i/>
          <w:iCs/>
          <w:color w:val="00B050"/>
        </w:rPr>
        <w:t>wa</w:t>
      </w:r>
      <w:proofErr w:type="spellEnd"/>
      <w:r w:rsidR="00ED7D0C" w:rsidRPr="00ED7D0C">
        <w:rPr>
          <w:b/>
          <w:bCs/>
          <w:i/>
          <w:iCs/>
          <w:color w:val="00B050"/>
        </w:rPr>
        <w:t xml:space="preserve"> </w:t>
      </w:r>
      <w:proofErr w:type="spellStart"/>
      <w:r w:rsidR="00ED7D0C" w:rsidRPr="00ED7D0C">
        <w:rPr>
          <w:b/>
          <w:bCs/>
          <w:i/>
          <w:iCs/>
          <w:color w:val="00B050"/>
        </w:rPr>
        <w:t>ta‘âlâ</w:t>
      </w:r>
      <w:proofErr w:type="spellEnd"/>
      <w:r w:rsidR="00ED7D0C" w:rsidRPr="00ED7D0C">
        <w:rPr>
          <w:b/>
          <w:bCs/>
          <w:color w:val="00B050"/>
        </w:rPr>
        <w:t>-</w:t>
      </w:r>
      <w:r w:rsidRPr="00ED7D0C">
        <w:rPr>
          <w:b/>
          <w:bCs/>
          <w:color w:val="00B050"/>
          <w:lang w:eastAsia="fr-FR"/>
        </w:rPr>
        <w:t xml:space="preserve"> leur a donné l’ordre de célébrer la prière ensemble [</w:t>
      </w:r>
      <w:r w:rsidRPr="00ED7D0C">
        <w:rPr>
          <w:b/>
          <w:bCs/>
          <w:i/>
          <w:iCs/>
          <w:color w:val="00B050"/>
          <w:lang w:eastAsia="fr-FR"/>
        </w:rPr>
        <w:t xml:space="preserve">Salât 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fîl-Djamâ’at</w:t>
      </w:r>
      <w:proofErr w:type="spellEnd"/>
      <w:r w:rsidRPr="00ED7D0C">
        <w:rPr>
          <w:b/>
          <w:bCs/>
          <w:color w:val="00B050"/>
          <w:lang w:eastAsia="fr-FR"/>
        </w:rPr>
        <w:t xml:space="preserve">] puis Il a répété le même ordre une seconde fois à l’endroit </w:t>
      </w:r>
      <w:r w:rsidR="00ED7D0C">
        <w:rPr>
          <w:b/>
          <w:bCs/>
          <w:color w:val="00B050"/>
          <w:lang w:eastAsia="fr-FR"/>
        </w:rPr>
        <w:t>du deuxième groupe en disant :</w:t>
      </w:r>
      <w:r w:rsidR="00ED7D0C">
        <w:rPr>
          <w:b/>
          <w:bCs/>
          <w:color w:val="00B050"/>
          <w:lang w:eastAsia="fr-FR"/>
        </w:rPr>
        <w:br/>
      </w:r>
    </w:p>
    <w:p w:rsidR="00ED7D0C" w:rsidRDefault="002443FD" w:rsidP="00ED7D0C">
      <w:pPr>
        <w:pStyle w:val="Sansinterligne"/>
        <w:jc w:val="center"/>
        <w:rPr>
          <w:b/>
          <w:bCs/>
          <w:color w:val="00B050"/>
          <w:lang w:eastAsia="fr-FR"/>
        </w:rPr>
      </w:pPr>
      <w:r w:rsidRPr="00ED7D0C">
        <w:rPr>
          <w:b/>
          <w:bCs/>
          <w:color w:val="00B050"/>
          <w:lang w:eastAsia="fr-FR"/>
        </w:rPr>
        <w:t xml:space="preserve">« </w:t>
      </w:r>
      <w:r w:rsidRPr="00ED7D0C">
        <w:rPr>
          <w:b/>
          <w:bCs/>
          <w:color w:val="FF0000"/>
          <w:lang w:eastAsia="fr-FR"/>
        </w:rPr>
        <w:t>Que vienne l’autre groupe, ceux qui n’ont pas encore célébré la Salât.</w:t>
      </w:r>
      <w:r w:rsidR="00ED7D0C">
        <w:rPr>
          <w:b/>
          <w:bCs/>
          <w:color w:val="00B050"/>
          <w:lang w:eastAsia="fr-FR"/>
        </w:rPr>
        <w:t xml:space="preserve"> »</w:t>
      </w:r>
    </w:p>
    <w:p w:rsidR="00ED7D0C" w:rsidRPr="00ED7D0C" w:rsidRDefault="002443FD" w:rsidP="00ED7D0C">
      <w:pPr>
        <w:pStyle w:val="Sansinterligne"/>
        <w:rPr>
          <w:b/>
          <w:bCs/>
          <w:color w:val="00B050"/>
          <w:lang w:eastAsia="fr-FR"/>
        </w:rPr>
      </w:pPr>
      <w:r w:rsidRPr="00ED7D0C">
        <w:rPr>
          <w:b/>
          <w:bCs/>
          <w:color w:val="00B050"/>
          <w:lang w:eastAsia="fr-FR"/>
        </w:rPr>
        <w:br/>
        <w:t>Ceci indique bien que la participation à la prière collective est une obligation individuelle [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fardh</w:t>
      </w:r>
      <w:proofErr w:type="spellEnd"/>
      <w:r w:rsidRPr="00ED7D0C">
        <w:rPr>
          <w:b/>
          <w:bCs/>
          <w:i/>
          <w:iCs/>
          <w:color w:val="00B050"/>
          <w:lang w:eastAsia="fr-FR"/>
        </w:rPr>
        <w:t xml:space="preserve"> ’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ayn</w:t>
      </w:r>
      <w:proofErr w:type="spellEnd"/>
      <w:r w:rsidRPr="00ED7D0C">
        <w:rPr>
          <w:b/>
          <w:bCs/>
          <w:color w:val="00B050"/>
          <w:lang w:eastAsia="fr-FR"/>
        </w:rPr>
        <w:t>] puisque son accomplissement par le premier groupe [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tâ</w:t>
      </w:r>
      <w:proofErr w:type="spellEnd"/>
      <w:r w:rsidRPr="00ED7D0C">
        <w:rPr>
          <w:b/>
          <w:bCs/>
          <w:i/>
          <w:iCs/>
          <w:color w:val="00B050"/>
          <w:lang w:eastAsia="fr-FR"/>
        </w:rPr>
        <w:t>-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îfa</w:t>
      </w:r>
      <w:proofErr w:type="spellEnd"/>
      <w:r w:rsidRPr="00ED7D0C">
        <w:rPr>
          <w:b/>
          <w:bCs/>
          <w:color w:val="00B050"/>
          <w:lang w:eastAsia="fr-FR"/>
        </w:rPr>
        <w:t xml:space="preserve">] n’en a dispensé le second. </w:t>
      </w:r>
      <w:r w:rsidRPr="00ED7D0C">
        <w:rPr>
          <w:b/>
          <w:bCs/>
          <w:color w:val="00B050"/>
          <w:lang w:eastAsia="fr-FR"/>
        </w:rPr>
        <w:br/>
      </w:r>
    </w:p>
    <w:p w:rsidR="00986691" w:rsidRPr="00986691" w:rsidRDefault="002443FD" w:rsidP="00ED7D0C">
      <w:pPr>
        <w:pStyle w:val="Sansinterligne"/>
        <w:rPr>
          <w:lang w:val="en-US" w:eastAsia="fr-FR"/>
        </w:rPr>
      </w:pPr>
      <w:r w:rsidRPr="00ED7D0C">
        <w:rPr>
          <w:b/>
          <w:bCs/>
          <w:color w:val="00B050"/>
          <w:lang w:eastAsia="fr-FR"/>
        </w:rPr>
        <w:t xml:space="preserve">Si la célébration de la prière en groupe n’était qu’une </w:t>
      </w:r>
      <w:proofErr w:type="spellStart"/>
      <w:r w:rsidRPr="00ED7D0C">
        <w:rPr>
          <w:b/>
          <w:bCs/>
          <w:color w:val="00B050"/>
          <w:lang w:eastAsia="fr-FR"/>
        </w:rPr>
        <w:t>Sounnah</w:t>
      </w:r>
      <w:proofErr w:type="spellEnd"/>
      <w:r w:rsidRPr="00ED7D0C">
        <w:rPr>
          <w:b/>
          <w:bCs/>
          <w:color w:val="00B050"/>
          <w:lang w:eastAsia="fr-FR"/>
        </w:rPr>
        <w:t>, le cas de la prédominance de la peur devrait justifier largement son abandon.</w:t>
      </w:r>
      <w:r w:rsidRPr="00ED7D0C">
        <w:rPr>
          <w:b/>
          <w:bCs/>
          <w:color w:val="00B050"/>
          <w:lang w:eastAsia="fr-FR"/>
        </w:rPr>
        <w:br/>
      </w:r>
      <w:r w:rsidRPr="00ED7D0C">
        <w:rPr>
          <w:b/>
          <w:bCs/>
          <w:color w:val="00B050"/>
          <w:lang w:eastAsia="fr-FR"/>
        </w:rPr>
        <w:br/>
        <w:t> Si elle n’était qu’une obligation communautaire [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fardh</w:t>
      </w:r>
      <w:proofErr w:type="spellEnd"/>
      <w:r w:rsidRPr="00ED7D0C">
        <w:rPr>
          <w:b/>
          <w:bCs/>
          <w:i/>
          <w:iCs/>
          <w:color w:val="00B050"/>
          <w:lang w:eastAsia="fr-FR"/>
        </w:rPr>
        <w:t xml:space="preserve"> </w:t>
      </w:r>
      <w:proofErr w:type="spellStart"/>
      <w:r w:rsidRPr="00ED7D0C">
        <w:rPr>
          <w:b/>
          <w:bCs/>
          <w:i/>
          <w:iCs/>
          <w:color w:val="00B050"/>
          <w:lang w:eastAsia="fr-FR"/>
        </w:rPr>
        <w:t>kifayâ</w:t>
      </w:r>
      <w:proofErr w:type="spellEnd"/>
      <w:r w:rsidRPr="00ED7D0C">
        <w:rPr>
          <w:b/>
          <w:bCs/>
          <w:color w:val="00B050"/>
          <w:lang w:eastAsia="fr-FR"/>
        </w:rPr>
        <w:t>], son accomplissement par le premier groupe aurait suffi.</w:t>
      </w:r>
      <w:r w:rsidRPr="00ED7D0C">
        <w:rPr>
          <w:b/>
          <w:bCs/>
          <w:color w:val="00B050"/>
          <w:lang w:eastAsia="fr-FR"/>
        </w:rPr>
        <w:br/>
      </w:r>
      <w:r w:rsidRPr="00ED7D0C">
        <w:rPr>
          <w:b/>
          <w:bCs/>
          <w:color w:val="00B050"/>
          <w:lang w:eastAsia="fr-FR"/>
        </w:rPr>
        <w:br/>
        <w:t xml:space="preserve"> Aussi le verset indique-t-il qu’elle constitue une obligation individuelle. </w:t>
      </w:r>
      <w:r w:rsidRPr="00ED7D0C">
        <w:rPr>
          <w:b/>
          <w:bCs/>
          <w:color w:val="00B050"/>
          <w:lang w:eastAsia="fr-FR"/>
        </w:rPr>
        <w:br/>
        <w:t xml:space="preserve">Ceci a été indiqué [dans le verset] de trois manières : on en a donné l’ordre à un premier </w:t>
      </w:r>
      <w:r w:rsidRPr="00ED7D0C">
        <w:rPr>
          <w:b/>
          <w:bCs/>
          <w:color w:val="00B050"/>
          <w:lang w:eastAsia="fr-FR"/>
        </w:rPr>
        <w:lastRenderedPageBreak/>
        <w:t>groupe puis on l’a répété à l’égard du deuxième groupe et enfin on n’en a dispensé personne même en cas de peur.</w:t>
      </w:r>
      <w:r w:rsidRPr="004D58DE">
        <w:rPr>
          <w:lang w:eastAsia="fr-FR"/>
        </w:rPr>
        <w:t xml:space="preserve"> » </w:t>
      </w:r>
    </w:p>
    <w:p w:rsidR="002443FD" w:rsidRPr="00986691" w:rsidRDefault="002443FD" w:rsidP="00ED7D0C">
      <w:pPr>
        <w:pStyle w:val="Sansinterligne"/>
        <w:rPr>
          <w:lang w:val="en-US" w:eastAsia="fr-FR"/>
        </w:rPr>
      </w:pPr>
      <w:r w:rsidRPr="00986691">
        <w:rPr>
          <w:lang w:val="en-US" w:eastAsia="fr-FR"/>
        </w:rPr>
        <w:br/>
      </w:r>
      <w:r w:rsidRPr="00986691">
        <w:rPr>
          <w:lang w:val="en-US" w:eastAsia="fr-FR"/>
        </w:rPr>
        <w:br/>
      </w:r>
      <w:proofErr w:type="gramStart"/>
      <w:r w:rsidR="00986691" w:rsidRPr="00986691">
        <w:rPr>
          <w:b/>
          <w:bCs/>
          <w:u w:val="single"/>
          <w:lang w:val="en-US" w:eastAsia="fr-FR"/>
        </w:rPr>
        <w:t>Source</w:t>
      </w:r>
      <w:r w:rsidR="00986691">
        <w:rPr>
          <w:lang w:val="en-US" w:eastAsia="fr-FR"/>
        </w:rPr>
        <w:t xml:space="preserve"> :</w:t>
      </w:r>
      <w:proofErr w:type="gramEnd"/>
      <w:r w:rsidRPr="00986691">
        <w:rPr>
          <w:lang w:val="en-US" w:eastAsia="fr-FR"/>
        </w:rPr>
        <w:t xml:space="preserve"> As-</w:t>
      </w:r>
      <w:proofErr w:type="spellStart"/>
      <w:r w:rsidRPr="00986691">
        <w:rPr>
          <w:lang w:val="en-US" w:eastAsia="fr-FR"/>
        </w:rPr>
        <w:t>salat</w:t>
      </w:r>
      <w:proofErr w:type="spellEnd"/>
      <w:r w:rsidRPr="00986691">
        <w:rPr>
          <w:lang w:val="en-US" w:eastAsia="fr-FR"/>
        </w:rPr>
        <w:t xml:space="preserve"> </w:t>
      </w:r>
      <w:proofErr w:type="spellStart"/>
      <w:r w:rsidRPr="00986691">
        <w:rPr>
          <w:lang w:val="en-US" w:eastAsia="fr-FR"/>
        </w:rPr>
        <w:t>wa</w:t>
      </w:r>
      <w:proofErr w:type="spellEnd"/>
      <w:r w:rsidRPr="00986691">
        <w:rPr>
          <w:lang w:val="en-US" w:eastAsia="fr-FR"/>
        </w:rPr>
        <w:t xml:space="preserve"> </w:t>
      </w:r>
      <w:proofErr w:type="spellStart"/>
      <w:r w:rsidRPr="00986691">
        <w:rPr>
          <w:lang w:val="en-US" w:eastAsia="fr-FR"/>
        </w:rPr>
        <w:t>houkmou</w:t>
      </w:r>
      <w:proofErr w:type="spellEnd"/>
      <w:r w:rsidRPr="00986691">
        <w:rPr>
          <w:lang w:val="en-US" w:eastAsia="fr-FR"/>
        </w:rPr>
        <w:t xml:space="preserve"> </w:t>
      </w:r>
      <w:proofErr w:type="spellStart"/>
      <w:r w:rsidRPr="00986691">
        <w:rPr>
          <w:lang w:val="en-US" w:eastAsia="fr-FR"/>
        </w:rPr>
        <w:t>târikihâ</w:t>
      </w:r>
      <w:proofErr w:type="spellEnd"/>
      <w:r w:rsidR="00986691">
        <w:rPr>
          <w:lang w:val="en-US" w:eastAsia="fr-FR"/>
        </w:rPr>
        <w:t>, page</w:t>
      </w:r>
      <w:r w:rsidRPr="00986691">
        <w:rPr>
          <w:lang w:val="en-US" w:eastAsia="fr-FR"/>
        </w:rPr>
        <w:t xml:space="preserve"> 111-112</w:t>
      </w:r>
      <w:r w:rsidR="00986691">
        <w:rPr>
          <w:lang w:val="en-US" w:eastAsia="fr-FR"/>
        </w:rPr>
        <w:t>.</w:t>
      </w:r>
    </w:p>
    <w:p w:rsidR="00704369" w:rsidRPr="00986691" w:rsidRDefault="00704369">
      <w:pPr>
        <w:rPr>
          <w:lang w:val="en-US"/>
        </w:rPr>
      </w:pPr>
    </w:p>
    <w:sectPr w:rsidR="00704369" w:rsidRPr="00986691" w:rsidSect="00986691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78" w:rsidRDefault="00B40D78" w:rsidP="00300924">
      <w:pPr>
        <w:spacing w:after="0" w:line="240" w:lineRule="auto"/>
      </w:pPr>
      <w:r>
        <w:separator/>
      </w:r>
    </w:p>
  </w:endnote>
  <w:endnote w:type="continuationSeparator" w:id="0">
    <w:p w:rsidR="00B40D78" w:rsidRDefault="00B40D78" w:rsidP="0030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sz w:val="26"/>
        <w:szCs w:val="26"/>
      </w:rPr>
      <w:id w:val="2098778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8"/>
        <w:szCs w:val="28"/>
      </w:rPr>
    </w:sdtEndPr>
    <w:sdtContent>
      <w:sdt>
        <w:sdtPr>
          <w:rPr>
            <w:rFonts w:asciiTheme="majorBidi" w:hAnsiTheme="majorBidi" w:cstheme="majorBidi"/>
            <w:b/>
            <w:bCs/>
            <w:sz w:val="26"/>
            <w:szCs w:val="26"/>
          </w:rPr>
          <w:id w:val="18401208"/>
          <w:docPartObj>
            <w:docPartGallery w:val="Page Numbers (Bottom of Page)"/>
            <w:docPartUnique/>
          </w:docPartObj>
        </w:sdtPr>
        <w:sdtContent>
          <w:p w:rsidR="00300924" w:rsidRPr="004B696B" w:rsidRDefault="00446337" w:rsidP="00300924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hyperlink r:id="rId1" w:history="1">
              <w:r w:rsidR="00300924" w:rsidRPr="004B696B">
                <w:rPr>
                  <w:rStyle w:val="Lienhypertexte"/>
                  <w:rFonts w:asciiTheme="majorBidi" w:hAnsiTheme="majorBidi" w:cstheme="majorBidi"/>
                  <w:b/>
                  <w:bCs/>
                  <w:sz w:val="26"/>
                  <w:szCs w:val="26"/>
                </w:rPr>
                <w:t>http://bibliotheque-islamique-coran-sunna.over-blog.com/</w:t>
              </w:r>
            </w:hyperlink>
          </w:p>
        </w:sdtContent>
      </w:sdt>
      <w:p w:rsidR="00300924" w:rsidRDefault="00300924" w:rsidP="00300924">
        <w:pPr>
          <w:pStyle w:val="Pieddepage"/>
          <w:jc w:val="center"/>
        </w:pPr>
        <w:r>
          <w:t xml:space="preserve"> </w:t>
        </w:r>
        <w:r w:rsidR="00986691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300924" w:rsidRPr="00300924" w:rsidRDefault="00446337" w:rsidP="00300924">
        <w:pPr>
          <w:pStyle w:val="Pieddepage"/>
          <w:jc w:val="center"/>
          <w:rPr>
            <w:b/>
            <w:bCs/>
            <w:sz w:val="28"/>
            <w:szCs w:val="28"/>
          </w:rPr>
        </w:pPr>
        <w:r w:rsidRPr="00A75B8D">
          <w:rPr>
            <w:b/>
            <w:bCs/>
            <w:sz w:val="28"/>
            <w:szCs w:val="28"/>
          </w:rPr>
          <w:fldChar w:fldCharType="begin"/>
        </w:r>
        <w:r w:rsidR="00300924" w:rsidRPr="00A75B8D">
          <w:rPr>
            <w:b/>
            <w:bCs/>
            <w:sz w:val="28"/>
            <w:szCs w:val="28"/>
          </w:rPr>
          <w:instrText xml:space="preserve"> PAGE    \* MERGEFORMAT </w:instrText>
        </w:r>
        <w:r w:rsidRPr="00A75B8D">
          <w:rPr>
            <w:b/>
            <w:bCs/>
            <w:sz w:val="28"/>
            <w:szCs w:val="28"/>
          </w:rPr>
          <w:fldChar w:fldCharType="separate"/>
        </w:r>
        <w:r w:rsidR="00ED7D0C">
          <w:rPr>
            <w:b/>
            <w:bCs/>
            <w:noProof/>
            <w:sz w:val="28"/>
            <w:szCs w:val="28"/>
          </w:rPr>
          <w:t>1</w:t>
        </w:r>
        <w:r w:rsidRPr="00A75B8D">
          <w:rPr>
            <w:b/>
            <w:bCs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78" w:rsidRDefault="00B40D78" w:rsidP="00300924">
      <w:pPr>
        <w:spacing w:after="0" w:line="240" w:lineRule="auto"/>
      </w:pPr>
      <w:r>
        <w:separator/>
      </w:r>
    </w:p>
  </w:footnote>
  <w:footnote w:type="continuationSeparator" w:id="0">
    <w:p w:rsidR="00B40D78" w:rsidRDefault="00B40D78" w:rsidP="00300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443FD"/>
    <w:rsid w:val="00044B3B"/>
    <w:rsid w:val="000C0174"/>
    <w:rsid w:val="000C4900"/>
    <w:rsid w:val="00107DEC"/>
    <w:rsid w:val="00112EF5"/>
    <w:rsid w:val="00115D15"/>
    <w:rsid w:val="00155319"/>
    <w:rsid w:val="001F65E7"/>
    <w:rsid w:val="002443FD"/>
    <w:rsid w:val="00244602"/>
    <w:rsid w:val="002852C3"/>
    <w:rsid w:val="00300924"/>
    <w:rsid w:val="00300C8F"/>
    <w:rsid w:val="00341AC0"/>
    <w:rsid w:val="00376300"/>
    <w:rsid w:val="003C1DFB"/>
    <w:rsid w:val="003D3DCC"/>
    <w:rsid w:val="00401A2D"/>
    <w:rsid w:val="00446337"/>
    <w:rsid w:val="00463B17"/>
    <w:rsid w:val="004B08AB"/>
    <w:rsid w:val="004B696B"/>
    <w:rsid w:val="00574E95"/>
    <w:rsid w:val="00584A92"/>
    <w:rsid w:val="005C627F"/>
    <w:rsid w:val="00610866"/>
    <w:rsid w:val="00616207"/>
    <w:rsid w:val="006D60C5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32B9E"/>
    <w:rsid w:val="00937064"/>
    <w:rsid w:val="00986691"/>
    <w:rsid w:val="009912A1"/>
    <w:rsid w:val="00994B1C"/>
    <w:rsid w:val="009965BA"/>
    <w:rsid w:val="00B1200F"/>
    <w:rsid w:val="00B40D78"/>
    <w:rsid w:val="00BB0B50"/>
    <w:rsid w:val="00BD7CC8"/>
    <w:rsid w:val="00C53C52"/>
    <w:rsid w:val="00C56B86"/>
    <w:rsid w:val="00CD4EBD"/>
    <w:rsid w:val="00D15EBD"/>
    <w:rsid w:val="00E16318"/>
    <w:rsid w:val="00ED292B"/>
    <w:rsid w:val="00ED7D0C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F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0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BB0B5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300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ansinterligne">
    <w:name w:val="No Spacing"/>
    <w:link w:val="SansinterligneCar"/>
    <w:uiPriority w:val="1"/>
    <w:qFormat/>
    <w:rsid w:val="00300924"/>
    <w:rPr>
      <w:rFonts w:eastAsiaTheme="minorHAnsi" w:cstheme="minorBidi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00924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924"/>
    <w:rPr>
      <w:rFonts w:ascii="Tahoma" w:eastAsiaTheme="minorHAns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09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0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9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300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2011-01-29T14:28:00Z</dcterms:created>
  <dcterms:modified xsi:type="dcterms:W3CDTF">2011-06-30T12:43:00Z</dcterms:modified>
</cp:coreProperties>
</file>