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Default="0093403F" w:rsidP="0093403F"/>
    <w:p w:rsidR="0093403F" w:rsidRPr="00CE66F6" w:rsidRDefault="0093403F" w:rsidP="0093403F">
      <w:pPr>
        <w:rPr>
          <w:rFonts w:asciiTheme="majorBidi" w:hAnsiTheme="majorBidi" w:cstheme="majorBidi"/>
        </w:rPr>
      </w:pPr>
    </w:p>
    <w:p w:rsidR="0093403F" w:rsidRDefault="003D075B" w:rsidP="0093403F">
      <w:pPr>
        <w:jc w:val="right"/>
        <w:rPr>
          <w:color w:val="7F7F7F"/>
          <w:sz w:val="32"/>
          <w:szCs w:val="32"/>
        </w:rPr>
      </w:pPr>
      <w:r w:rsidRPr="003D075B">
        <w:rPr>
          <w:noProof/>
          <w:color w:val="C4BC96"/>
          <w:sz w:val="32"/>
          <w:szCs w:val="32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93403F" w:rsidRPr="00D10DD1" w:rsidTr="009518D7">
        <w:tc>
          <w:tcPr>
            <w:tcW w:w="9576" w:type="dxa"/>
          </w:tcPr>
          <w:p w:rsidR="0093403F" w:rsidRDefault="0093403F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3403F" w:rsidRDefault="0093403F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3403F" w:rsidRPr="00B11B44" w:rsidRDefault="0093403F" w:rsidP="00EB731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 w:rsidR="00EB731C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Kathîr</w:t>
            </w:r>
          </w:p>
        </w:tc>
      </w:tr>
    </w:tbl>
    <w:p w:rsidR="0093403F" w:rsidRPr="00B11B44" w:rsidRDefault="0093403F" w:rsidP="0093403F">
      <w:pPr>
        <w:jc w:val="right"/>
        <w:rPr>
          <w:color w:val="7F7F7F"/>
          <w:sz w:val="32"/>
          <w:szCs w:val="32"/>
        </w:rPr>
      </w:pPr>
    </w:p>
    <w:p w:rsidR="0093403F" w:rsidRPr="00B11B44" w:rsidRDefault="003D075B" w:rsidP="0093403F">
      <w:r w:rsidRPr="003D075B">
        <w:rPr>
          <w:noProof/>
          <w:color w:val="C4BC96"/>
          <w:sz w:val="32"/>
          <w:szCs w:val="32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93403F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93403F" w:rsidRPr="00B11B44" w:rsidRDefault="0093403F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93403F" w:rsidRPr="001C579F" w:rsidRDefault="001C579F" w:rsidP="00771538">
                        <w:pPr>
                          <w:pStyle w:val="Titre2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C579F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Exégèse [Tafsir] : «</w:t>
                        </w:r>
                        <w:r w:rsidR="00EB731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1C579F">
                          <w:rPr>
                            <w:rFonts w:asciiTheme="majorBidi" w:hAnsiTheme="majorBidi" w:cstheme="majorBidi"/>
                            <w:color w:val="FFFFFF" w:themeColor="background1"/>
                            <w:sz w:val="40"/>
                            <w:szCs w:val="40"/>
                          </w:rPr>
                          <w:t>Et de ne montrer de leurs atours que ce qui en paraît</w:t>
                        </w:r>
                        <w:r w:rsidR="00EB731C">
                          <w:rPr>
                            <w:rFonts w:asciiTheme="majorBidi" w:hAnsiTheme="majorBidi" w:cstheme="majorBidi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1C579F">
                          <w:rPr>
                            <w:rFonts w:asciiTheme="majorBidi" w:hAnsiTheme="majorBidi" w:cstheme="majorBidi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1C579F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» ; Sourate 24 [An-Nûr], Verset 31</w:t>
                        </w:r>
                      </w:p>
                    </w:tc>
                  </w:tr>
                </w:tbl>
                <w:p w:rsidR="0093403F" w:rsidRPr="00B11B44" w:rsidRDefault="0093403F" w:rsidP="0093403F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="0093403F" w:rsidRPr="00B11B44">
        <w:br w:type="page"/>
      </w:r>
    </w:p>
    <w:p w:rsidR="001C579F" w:rsidRDefault="001C579F" w:rsidP="001C579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762375" cy="1209675"/>
            <wp:effectExtent l="19050" t="0" r="9525" b="0"/>
            <wp:docPr id="17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9F" w:rsidRDefault="001C579F" w:rsidP="001C579F"/>
    <w:p w:rsidR="001C579F" w:rsidRDefault="001C579F" w:rsidP="001C579F">
      <w:pPr>
        <w:pStyle w:val="Sansinterligne"/>
      </w:pPr>
    </w:p>
    <w:p w:rsidR="001C579F" w:rsidRDefault="001C579F" w:rsidP="001C579F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1C579F" w:rsidRPr="00771538" w:rsidRDefault="001C579F" w:rsidP="001C579F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1C579F" w:rsidRPr="00D74B27" w:rsidRDefault="001C579F" w:rsidP="001C579F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</w:rPr>
      </w:pPr>
      <w:r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 xml:space="preserve">« Et de ne montrer de leurs atours que ce qui en paraît </w:t>
      </w:r>
      <w:proofErr w:type="gramStart"/>
      <w:r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»</w:t>
      </w:r>
      <w:proofErr w:type="gramEnd"/>
      <w:r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br/>
      </w:r>
      <w:r>
        <w:rPr>
          <w:rFonts w:asciiTheme="majorBidi" w:hAnsiTheme="majorBidi" w:cstheme="majorBidi"/>
        </w:rPr>
        <w:t>[</w:t>
      </w:r>
      <w:r w:rsidRPr="00364546">
        <w:rPr>
          <w:rFonts w:asciiTheme="majorBidi" w:eastAsia="Times New Roman" w:hAnsiTheme="majorBidi" w:cstheme="majorBidi"/>
          <w:szCs w:val="24"/>
          <w:lang w:eastAsia="fr-FR"/>
        </w:rPr>
        <w:t>Sourate</w:t>
      </w:r>
      <w:r>
        <w:rPr>
          <w:rFonts w:asciiTheme="majorBidi" w:eastAsia="Times New Roman" w:hAnsiTheme="majorBidi" w:cstheme="majorBidi"/>
          <w:szCs w:val="24"/>
          <w:lang w:eastAsia="fr-FR"/>
        </w:rPr>
        <w:t xml:space="preserve"> an-Nûr, verset 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>31</w:t>
      </w:r>
      <w:r>
        <w:rPr>
          <w:rFonts w:asciiTheme="majorBidi" w:hAnsiTheme="majorBidi" w:cstheme="majorBidi"/>
        </w:rPr>
        <w:t>]</w:t>
      </w:r>
    </w:p>
    <w:p w:rsidR="001C579F" w:rsidRDefault="001C579F" w:rsidP="001C579F">
      <w:pPr>
        <w:pStyle w:val="Sansinterligne"/>
        <w:rPr>
          <w:rFonts w:asciiTheme="majorBidi" w:hAnsiTheme="majorBidi" w:cstheme="majorBidi"/>
          <w:color w:val="000000"/>
        </w:rPr>
      </w:pPr>
    </w:p>
    <w:p w:rsidR="001C579F" w:rsidRDefault="001C579F" w:rsidP="001C579F">
      <w:pPr>
        <w:pStyle w:val="Sansinterligne"/>
        <w:rPr>
          <w:rFonts w:asciiTheme="majorBidi" w:hAnsiTheme="majorBidi" w:cstheme="majorBidi"/>
          <w:color w:val="000000"/>
        </w:rPr>
      </w:pPr>
    </w:p>
    <w:p w:rsidR="001C579F" w:rsidRPr="00916CDE" w:rsidRDefault="001C579F" w:rsidP="001C579F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1C579F" w:rsidRPr="00916CDE" w:rsidRDefault="001C579F" w:rsidP="001C579F">
      <w:pPr>
        <w:pStyle w:val="Sansinterligne"/>
        <w:rPr>
          <w:rFonts w:asciiTheme="majorBidi" w:hAnsiTheme="majorBidi" w:cstheme="majorBidi"/>
          <w:color w:val="000000"/>
        </w:rPr>
      </w:pPr>
    </w:p>
    <w:p w:rsidR="001C579F" w:rsidRDefault="001C579F" w:rsidP="001C579F">
      <w:pPr>
        <w:pStyle w:val="Sansinterligne"/>
        <w:rPr>
          <w:rStyle w:val="Accentuation"/>
          <w:rFonts w:ascii="Georgia" w:hAnsi="Georgia"/>
          <w:color w:val="333366"/>
        </w:rPr>
      </w:pPr>
    </w:p>
    <w:p w:rsidR="001C579F" w:rsidRDefault="001C579F" w:rsidP="001C579F">
      <w:pPr>
        <w:pStyle w:val="Sansinterligne"/>
      </w:pPr>
      <w:r>
        <w:rPr>
          <w:rFonts w:asciiTheme="majorBidi" w:eastAsia="Times New Roman" w:hAnsiTheme="majorBidi" w:cstheme="majorBidi"/>
          <w:szCs w:val="24"/>
          <w:lang w:eastAsia="fr-FR"/>
        </w:rPr>
        <w:t>Ibn Kathîr</w:t>
      </w:r>
      <w:r>
        <w:t xml:space="preserve"> -</w:t>
      </w:r>
      <w:r w:rsidRPr="0041274C">
        <w:t>qu'Allâh lui fasse miséricorde</w:t>
      </w:r>
      <w:r>
        <w:t xml:space="preserve">- a dit : </w:t>
      </w:r>
    </w:p>
    <w:p w:rsidR="001C579F" w:rsidRDefault="001C579F" w:rsidP="001C579F">
      <w:pPr>
        <w:pStyle w:val="Sansinterligne"/>
      </w:pPr>
    </w:p>
    <w:p w:rsidR="00EB731C" w:rsidRDefault="001C579F" w:rsidP="00EB731C">
      <w:pPr>
        <w:pStyle w:val="Sansinterligne"/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93403F"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« </w:t>
      </w:r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Les mots : « Et de ne montrer de leurs atours que ce qui en paraît » signifient que les femmes ne doivent rien montrer de leurs atours aux étrangers, sauf ce qu’il est impossible de cacher. </w:t>
      </w:r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</w:r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  <w:t xml:space="preserve">Ibn </w:t>
      </w:r>
      <w:proofErr w:type="spellStart"/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Mass</w:t>
      </w:r>
      <w:r w:rsid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‘</w:t>
      </w:r>
      <w:r w:rsidR="0093403F"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oud</w:t>
      </w:r>
      <w:proofErr w:type="spellEnd"/>
      <w:r w:rsidR="0093403F"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l’agrée</w:t>
      </w:r>
      <w:r w:rsidR="00EB731C" w:rsidRPr="00EB731C">
        <w:rPr>
          <w:b/>
          <w:bCs/>
          <w:color w:val="00B050"/>
        </w:rPr>
        <w:t xml:space="preserve">- </w:t>
      </w:r>
      <w:r w:rsidR="0093403F"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a</w:t>
      </w:r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dit : « </w:t>
      </w:r>
      <w:r w:rsidR="0093403F" w:rsidRPr="00EB731C">
        <w:rPr>
          <w:rFonts w:asciiTheme="majorBidi" w:eastAsia="Times New Roman" w:hAnsiTheme="majorBidi" w:cstheme="majorBidi"/>
          <w:b/>
          <w:bCs/>
          <w:color w:val="215868" w:themeColor="accent5" w:themeShade="80"/>
          <w:szCs w:val="24"/>
          <w:lang w:eastAsia="fr-FR"/>
        </w:rPr>
        <w:t>Comme le manteau et les vêtements...</w:t>
      </w:r>
      <w:r w:rsidR="0093403F"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» </w:t>
      </w:r>
    </w:p>
    <w:p w:rsidR="00EB731C" w:rsidRDefault="00EB731C" w:rsidP="001C579F">
      <w:pPr>
        <w:pStyle w:val="Sansinterligne"/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</w:pPr>
    </w:p>
    <w:p w:rsidR="001C579F" w:rsidRPr="001C579F" w:rsidRDefault="0093403F" w:rsidP="001C579F">
      <w:pPr>
        <w:pStyle w:val="Sansinterligne"/>
        <w:rPr>
          <w:rFonts w:asciiTheme="majorBidi" w:eastAsia="Times New Roman" w:hAnsiTheme="majorBidi" w:cstheme="majorBidi"/>
          <w:szCs w:val="24"/>
          <w:lang w:eastAsia="fr-FR"/>
        </w:rPr>
      </w:pP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L’avis d’Ibn </w:t>
      </w:r>
      <w:proofErr w:type="spellStart"/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Mass’oud</w:t>
      </w:r>
      <w:proofErr w:type="spellEnd"/>
      <w:r w:rsid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l’agrée</w:t>
      </w:r>
      <w:r w:rsidR="00EB731C" w:rsidRPr="00EB731C">
        <w:rPr>
          <w:b/>
          <w:bCs/>
          <w:color w:val="00B050"/>
        </w:rPr>
        <w:t>-</w:t>
      </w:r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est aussi, celui, entre autres, d’al-Hassan, Ibn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Sîrîn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, Abû al-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Djawzâ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,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Ibrâhîm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an-Nakha’î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.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Al-A’mach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rapporte d’après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Sa’îd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Ibn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Djoubayr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d’après Ibn ’Abbâs</w:t>
      </w:r>
      <w:r w:rsidR="00EB731C"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l’agrée</w:t>
      </w:r>
      <w:r w:rsidR="00EB731C" w:rsidRPr="00EB731C">
        <w:rPr>
          <w:b/>
          <w:bCs/>
          <w:color w:val="00B050"/>
        </w:rPr>
        <w:t>-</w:t>
      </w:r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,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que celui-ci a dit : « </w:t>
      </w:r>
      <w:r w:rsidRPr="00EB731C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Et ne montrer de leurs atours que ce qui en paraît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» : </w:t>
      </w:r>
      <w:r w:rsid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« </w:t>
      </w:r>
      <w:r w:rsidRPr="00EB731C">
        <w:rPr>
          <w:rFonts w:asciiTheme="majorBidi" w:eastAsia="Times New Roman" w:hAnsiTheme="majorBidi" w:cstheme="majorBidi"/>
          <w:b/>
          <w:bCs/>
          <w:color w:val="215868" w:themeColor="accent5" w:themeShade="80"/>
          <w:szCs w:val="24"/>
          <w:lang w:eastAsia="fr-FR"/>
        </w:rPr>
        <w:t>il s’agit du visage, des mains et des bagues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».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  <w:t>On rapporte qu’Ibn ’Oma</w:t>
      </w:r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r</w:t>
      </w:r>
      <w:r w:rsidR="00EB731C"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l’agrée</w:t>
      </w:r>
      <w:r w:rsidR="00EB731C" w:rsidRPr="00EB731C">
        <w:rPr>
          <w:b/>
          <w:bCs/>
          <w:color w:val="00B050"/>
        </w:rPr>
        <w:t>-</w:t>
      </w:r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, ’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Atâ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, ’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Ikrima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,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Sa’îd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Ibn </w:t>
      </w:r>
      <w:proofErr w:type="spellStart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Djoubayr</w:t>
      </w:r>
      <w:proofErr w:type="spellEnd"/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et d’autres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l’agrée</w:t>
      </w:r>
      <w:r w:rsidR="00EB731C" w:rsidRPr="00EB731C">
        <w:rPr>
          <w:b/>
          <w:bCs/>
          <w:color w:val="00B050"/>
        </w:rPr>
        <w:t>-</w:t>
      </w:r>
      <w:r w:rsidR="00EB731C">
        <w:t xml:space="preserve"> 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ont émis un avis semblable. Cela peut permettre d’expliquer quels sont les atours qu’il est interdit aux femmes de montrer [...] 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br/>
      </w:r>
      <w:proofErr w:type="spellStart"/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az</w:t>
      </w:r>
      <w:proofErr w:type="spellEnd"/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-</w:t>
      </w:r>
      <w:proofErr w:type="spellStart"/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Zouhrî</w:t>
      </w:r>
      <w:proofErr w:type="spellEnd"/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</w:t>
      </w:r>
      <w:r w:rsidR="00EB731C" w:rsidRPr="00EB731C">
        <w:rPr>
          <w:b/>
          <w:bCs/>
          <w:color w:val="00B050"/>
        </w:rPr>
        <w:t>-</w:t>
      </w:r>
      <w:r w:rsidR="00EB731C" w:rsidRPr="00EB731C">
        <w:rPr>
          <w:b/>
          <w:bCs/>
          <w:i/>
          <w:iCs/>
          <w:color w:val="00B050"/>
        </w:rPr>
        <w:t>qu’Allâh lui fasse Miséricorde</w:t>
      </w:r>
      <w:r w:rsidR="00EB731C" w:rsidRPr="00EB731C">
        <w:rPr>
          <w:b/>
          <w:bCs/>
          <w:color w:val="00B050"/>
        </w:rPr>
        <w:t>-</w:t>
      </w:r>
      <w:r w:rsidR="00EB731C">
        <w:rPr>
          <w:color w:val="000000"/>
        </w:rPr>
        <w:t xml:space="preserve"> </w:t>
      </w:r>
      <w:r w:rsidRPr="001C579F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a dit : « </w:t>
      </w:r>
      <w:r w:rsidRPr="00EB731C">
        <w:rPr>
          <w:rFonts w:asciiTheme="majorBidi" w:eastAsia="Times New Roman" w:hAnsiTheme="majorBidi" w:cstheme="majorBidi"/>
          <w:b/>
          <w:bCs/>
          <w:color w:val="002060"/>
          <w:szCs w:val="24"/>
          <w:lang w:eastAsia="fr-FR"/>
        </w:rPr>
        <w:t>Que ce qui en paraît » se réfère aux bagues et aux anneaux de cheville. Il est possible qu’Ibn ’Abbâs et ceux qui ont suivi son avis aient voulu expliquer [ou commenter] ce qui en paraît par le visage et les mains, ce qui est l’avis généralement admis par l’ensemble [des savants]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Pr="00EB731C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».</w:t>
      </w:r>
      <w:r w:rsidR="00EB731C">
        <w:rPr>
          <w:rFonts w:asciiTheme="majorBidi" w:eastAsia="Times New Roman" w:hAnsiTheme="majorBidi" w:cstheme="majorBidi"/>
          <w:szCs w:val="24"/>
          <w:lang w:eastAsia="fr-FR"/>
        </w:rPr>
        <w:t> »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</w:p>
    <w:p w:rsidR="001C579F" w:rsidRDefault="001C579F" w:rsidP="001C579F">
      <w:pPr>
        <w:pStyle w:val="Sansinterligne"/>
        <w:rPr>
          <w:rFonts w:asciiTheme="majorBidi" w:eastAsia="Times New Roman" w:hAnsiTheme="majorBidi" w:cstheme="majorBidi"/>
          <w:szCs w:val="24"/>
          <w:lang w:eastAsia="fr-FR"/>
        </w:rPr>
      </w:pPr>
    </w:p>
    <w:p w:rsidR="001C579F" w:rsidRDefault="001C579F" w:rsidP="001C579F">
      <w:pPr>
        <w:pStyle w:val="Sansinterligne"/>
        <w:rPr>
          <w:rFonts w:asciiTheme="majorBidi" w:eastAsia="Times New Roman" w:hAnsiTheme="majorBidi" w:cstheme="majorBidi"/>
          <w:szCs w:val="24"/>
          <w:lang w:eastAsia="fr-FR"/>
        </w:rPr>
      </w:pPr>
    </w:p>
    <w:p w:rsidR="00704369" w:rsidRDefault="0093403F" w:rsidP="001C579F">
      <w:pPr>
        <w:pStyle w:val="Sansinterligne"/>
      </w:pPr>
      <w:r w:rsidRPr="001C579F">
        <w:rPr>
          <w:rFonts w:asciiTheme="majorBidi" w:hAnsiTheme="majorBidi" w:cstheme="majorBidi"/>
          <w:b/>
          <w:bCs/>
          <w:u w:val="single"/>
        </w:rPr>
        <w:t>Source </w:t>
      </w:r>
      <w:r>
        <w:rPr>
          <w:rFonts w:asciiTheme="majorBidi" w:hAnsiTheme="majorBidi" w:cstheme="majorBidi"/>
        </w:rPr>
        <w:t xml:space="preserve">: </w:t>
      </w:r>
      <w:proofErr w:type="spellStart"/>
      <w:r w:rsidRPr="004D58DE">
        <w:rPr>
          <w:rFonts w:asciiTheme="majorBidi" w:eastAsia="Times New Roman" w:hAnsiTheme="majorBidi" w:cstheme="majorBidi"/>
          <w:szCs w:val="24"/>
          <w:lang w:eastAsia="fr-FR"/>
        </w:rPr>
        <w:t>Moukhtasar</w:t>
      </w:r>
      <w:proofErr w:type="spellEnd"/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proofErr w:type="spellStart"/>
      <w:r w:rsidRPr="004D58DE">
        <w:rPr>
          <w:rFonts w:asciiTheme="majorBidi" w:eastAsia="Times New Roman" w:hAnsiTheme="majorBidi" w:cstheme="majorBidi"/>
          <w:szCs w:val="24"/>
          <w:lang w:eastAsia="fr-FR"/>
        </w:rPr>
        <w:t>Tafsîr</w:t>
      </w:r>
      <w:proofErr w:type="spellEnd"/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Ibn Kathîr, vol</w:t>
      </w:r>
      <w:r>
        <w:rPr>
          <w:rFonts w:asciiTheme="majorBidi" w:hAnsiTheme="majorBidi" w:cstheme="majorBidi"/>
        </w:rPr>
        <w:t xml:space="preserve">ume 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>2</w:t>
      </w:r>
      <w:r w:rsidR="001C579F">
        <w:rPr>
          <w:rFonts w:asciiTheme="majorBidi" w:eastAsia="Times New Roman" w:hAnsiTheme="majorBidi" w:cstheme="majorBidi"/>
          <w:szCs w:val="24"/>
          <w:lang w:eastAsia="fr-FR"/>
        </w:rPr>
        <w:t>,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p</w:t>
      </w:r>
      <w:r>
        <w:rPr>
          <w:rFonts w:asciiTheme="majorBidi" w:hAnsiTheme="majorBidi" w:cstheme="majorBidi"/>
        </w:rPr>
        <w:t>age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t xml:space="preserve"> 728</w:t>
      </w:r>
      <w:r w:rsidR="001C579F">
        <w:rPr>
          <w:rFonts w:asciiTheme="majorBidi" w:eastAsia="Times New Roman" w:hAnsiTheme="majorBidi" w:cstheme="majorBidi"/>
          <w:szCs w:val="24"/>
          <w:lang w:eastAsia="fr-FR"/>
        </w:rPr>
        <w:t>.</w:t>
      </w:r>
      <w:r w:rsidRPr="004D58DE">
        <w:rPr>
          <w:rFonts w:asciiTheme="majorBidi" w:eastAsia="Times New Roman" w:hAnsiTheme="majorBidi" w:cstheme="majorBidi"/>
          <w:szCs w:val="24"/>
          <w:lang w:eastAsia="fr-FR"/>
        </w:rPr>
        <w:br/>
      </w:r>
    </w:p>
    <w:sectPr w:rsidR="00704369" w:rsidSect="00EB731C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48" w:rsidRDefault="008B7848" w:rsidP="0093403F">
      <w:pPr>
        <w:spacing w:after="0" w:line="240" w:lineRule="auto"/>
      </w:pPr>
      <w:r>
        <w:separator/>
      </w:r>
    </w:p>
  </w:endnote>
  <w:endnote w:type="continuationSeparator" w:id="0">
    <w:p w:rsidR="008B7848" w:rsidRDefault="008B7848" w:rsidP="0093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bCs w:val="0"/>
        <w:sz w:val="22"/>
        <w:szCs w:val="22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93403F" w:rsidRPr="00501018" w:rsidRDefault="003D075B" w:rsidP="0093403F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="0093403F"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3D075B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49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93403F" w:rsidRDefault="0093403F" w:rsidP="0093403F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="003D075B"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="003D075B" w:rsidRPr="00771538">
          <w:rPr>
            <w:b/>
            <w:bCs/>
            <w:sz w:val="26"/>
            <w:szCs w:val="26"/>
          </w:rPr>
          <w:fldChar w:fldCharType="separate"/>
        </w:r>
        <w:r w:rsidR="00166EBB">
          <w:rPr>
            <w:b/>
            <w:bCs/>
            <w:noProof/>
            <w:sz w:val="26"/>
            <w:szCs w:val="26"/>
          </w:rPr>
          <w:t>1</w:t>
        </w:r>
        <w:r w:rsidR="003D075B"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48" w:rsidRDefault="008B7848" w:rsidP="0093403F">
      <w:pPr>
        <w:spacing w:after="0" w:line="240" w:lineRule="auto"/>
      </w:pPr>
      <w:r>
        <w:separator/>
      </w:r>
    </w:p>
  </w:footnote>
  <w:footnote w:type="continuationSeparator" w:id="0">
    <w:p w:rsidR="008B7848" w:rsidRDefault="008B7848" w:rsidP="0093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03F"/>
    <w:rsid w:val="00027B22"/>
    <w:rsid w:val="00044B3B"/>
    <w:rsid w:val="000C0174"/>
    <w:rsid w:val="001044C0"/>
    <w:rsid w:val="00107DEC"/>
    <w:rsid w:val="00152159"/>
    <w:rsid w:val="00155319"/>
    <w:rsid w:val="00166EBB"/>
    <w:rsid w:val="001C28F7"/>
    <w:rsid w:val="001C579F"/>
    <w:rsid w:val="00244602"/>
    <w:rsid w:val="00280909"/>
    <w:rsid w:val="002852C3"/>
    <w:rsid w:val="00300C8F"/>
    <w:rsid w:val="00376300"/>
    <w:rsid w:val="003C1DFB"/>
    <w:rsid w:val="003C21F7"/>
    <w:rsid w:val="003D075B"/>
    <w:rsid w:val="003D3DCC"/>
    <w:rsid w:val="00401A2D"/>
    <w:rsid w:val="00463B17"/>
    <w:rsid w:val="004B08AB"/>
    <w:rsid w:val="00574E95"/>
    <w:rsid w:val="00576D00"/>
    <w:rsid w:val="00584A92"/>
    <w:rsid w:val="00586DD1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B7848"/>
    <w:rsid w:val="008C115B"/>
    <w:rsid w:val="00915D23"/>
    <w:rsid w:val="00932B9E"/>
    <w:rsid w:val="0093403F"/>
    <w:rsid w:val="00937064"/>
    <w:rsid w:val="009912A1"/>
    <w:rsid w:val="00994B1C"/>
    <w:rsid w:val="009965BA"/>
    <w:rsid w:val="009A61DA"/>
    <w:rsid w:val="009C36FA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A6B8F"/>
    <w:rsid w:val="00EB731C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3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403F"/>
    <w:rPr>
      <w:b/>
      <w:bCs/>
      <w:sz w:val="36"/>
      <w:szCs w:val="3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3403F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03F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40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0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3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D279-9879-44D9-ACC5-80CB650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2011-06-19T13:05:00Z</cp:lastPrinted>
  <dcterms:created xsi:type="dcterms:W3CDTF">2011-06-17T15:30:00Z</dcterms:created>
  <dcterms:modified xsi:type="dcterms:W3CDTF">2011-06-19T13:05:00Z</dcterms:modified>
</cp:coreProperties>
</file>