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Default="00C558F2" w:rsidP="00C558F2"/>
    <w:p w:rsidR="00C558F2" w:rsidRPr="00CE66F6" w:rsidRDefault="00C558F2" w:rsidP="00C558F2">
      <w:pPr>
        <w:rPr>
          <w:rFonts w:asciiTheme="majorBidi" w:hAnsiTheme="majorBidi" w:cstheme="majorBidi"/>
        </w:rPr>
      </w:pPr>
    </w:p>
    <w:p w:rsidR="00C558F2" w:rsidRDefault="00C558F2" w:rsidP="00C558F2">
      <w:pPr>
        <w:jc w:val="right"/>
        <w:rPr>
          <w:color w:val="7F7F7F"/>
          <w:sz w:val="32"/>
          <w:szCs w:val="32"/>
        </w:rPr>
      </w:pPr>
      <w:r w:rsidRPr="00A975B9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C558F2" w:rsidTr="00767190">
        <w:tc>
          <w:tcPr>
            <w:tcW w:w="9576" w:type="dxa"/>
          </w:tcPr>
          <w:p w:rsidR="00C558F2" w:rsidRPr="002C713A" w:rsidRDefault="00C558F2" w:rsidP="007671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C558F2" w:rsidRPr="002C713A" w:rsidRDefault="00C558F2" w:rsidP="007671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C558F2" w:rsidRPr="002C713A" w:rsidRDefault="00C558F2" w:rsidP="0076719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2C713A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Par l’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</w:t>
            </w:r>
            <w:r w:rsidRPr="002C713A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â</w:t>
            </w:r>
            <w:r w:rsidRPr="002C713A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m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Ibn Taymiyyah</w:t>
            </w:r>
          </w:p>
        </w:tc>
      </w:tr>
    </w:tbl>
    <w:p w:rsidR="00C558F2" w:rsidRDefault="00C558F2" w:rsidP="00C558F2">
      <w:pPr>
        <w:jc w:val="right"/>
        <w:rPr>
          <w:color w:val="7F7F7F"/>
          <w:sz w:val="32"/>
          <w:szCs w:val="32"/>
        </w:rPr>
      </w:pPr>
    </w:p>
    <w:p w:rsidR="00C558F2" w:rsidRPr="009A570F" w:rsidRDefault="00C558F2" w:rsidP="00C558F2">
      <w:r w:rsidRPr="00A975B9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8"/>
                  </w:tblGrid>
                  <w:tr w:rsidR="00C558F2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C558F2" w:rsidRPr="00344919" w:rsidRDefault="00C558F2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3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C558F2" w:rsidRPr="0049205E" w:rsidRDefault="0049205E" w:rsidP="00F81088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49205E"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val="fr-BE"/>
                          </w:rPr>
                          <w:t xml:space="preserve">Définition </w:t>
                        </w:r>
                        <w:r w:rsidR="00F81088"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val="fr-BE"/>
                          </w:rPr>
                          <w:t xml:space="preserve">de </w:t>
                        </w:r>
                        <w:r w:rsidRPr="0049205E"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val="fr-BE"/>
                          </w:rPr>
                          <w:t>« Ad-Dîne » : La religion, l’obéissance, la loi à suivre</w:t>
                        </w:r>
                      </w:p>
                    </w:tc>
                  </w:tr>
                </w:tbl>
                <w:p w:rsidR="00C558F2" w:rsidRPr="00344919" w:rsidRDefault="00C558F2" w:rsidP="00C558F2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>
        <w:br w:type="page"/>
      </w:r>
    </w:p>
    <w:p w:rsidR="00C558F2" w:rsidRDefault="00C558F2" w:rsidP="00C558F2">
      <w:pPr>
        <w:jc w:val="center"/>
      </w:pPr>
      <w:r>
        <w:rPr>
          <w:noProof/>
        </w:rPr>
        <w:lastRenderedPageBreak/>
        <w:drawing>
          <wp:inline distT="0" distB="0" distL="0" distR="0">
            <wp:extent cx="2571750" cy="1771650"/>
            <wp:effectExtent l="19050" t="0" r="0" b="0"/>
            <wp:docPr id="4" name="Image 1" descr="bismill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2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F2" w:rsidRDefault="00C558F2" w:rsidP="00C558F2">
      <w:pPr>
        <w:pStyle w:val="NormalWeb"/>
        <w:spacing w:before="0" w:beforeAutospacing="0" w:after="0" w:afterAutospacing="0"/>
      </w:pPr>
      <w:r>
        <w:t xml:space="preserve"> </w:t>
      </w:r>
    </w:p>
    <w:p w:rsidR="00704369" w:rsidRDefault="00704369"/>
    <w:p w:rsidR="00CC49AB" w:rsidRDefault="00CC49AB"/>
    <w:p w:rsidR="00CC49AB" w:rsidRPr="0049205E" w:rsidRDefault="00CC49AB" w:rsidP="0049205E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  <w:proofErr w:type="spellStart"/>
      <w:r w:rsidRPr="0049205E">
        <w:rPr>
          <w:rFonts w:asciiTheme="majorBidi" w:hAnsiTheme="majorBidi" w:cstheme="majorBidi"/>
          <w:color w:val="000000"/>
          <w:szCs w:val="24"/>
        </w:rPr>
        <w:t>Cheykh</w:t>
      </w:r>
      <w:proofErr w:type="spellEnd"/>
      <w:r w:rsidRPr="0049205E">
        <w:rPr>
          <w:rFonts w:asciiTheme="majorBidi" w:hAnsiTheme="majorBidi" w:cstheme="majorBidi"/>
          <w:color w:val="000000"/>
          <w:szCs w:val="24"/>
        </w:rPr>
        <w:t xml:space="preserve"> Al Islâm Ibn </w:t>
      </w:r>
      <w:proofErr w:type="spellStart"/>
      <w:r w:rsidRPr="0049205E">
        <w:rPr>
          <w:rFonts w:asciiTheme="majorBidi" w:hAnsiTheme="majorBidi" w:cstheme="majorBidi"/>
          <w:color w:val="000000"/>
          <w:szCs w:val="24"/>
        </w:rPr>
        <w:t>Taymiya</w:t>
      </w:r>
      <w:proofErr w:type="spellEnd"/>
      <w:r w:rsidR="0049205E" w:rsidRPr="0049205E">
        <w:rPr>
          <w:rFonts w:asciiTheme="majorBidi" w:hAnsiTheme="majorBidi" w:cstheme="majorBidi"/>
          <w:color w:val="000000"/>
          <w:szCs w:val="24"/>
        </w:rPr>
        <w:t xml:space="preserve"> </w:t>
      </w:r>
      <w:r w:rsidR="0049205E" w:rsidRPr="00F375EC">
        <w:rPr>
          <w:color w:val="000000"/>
        </w:rPr>
        <w:t>-</w:t>
      </w:r>
      <w:r w:rsidR="0049205E" w:rsidRPr="00F375EC">
        <w:rPr>
          <w:i/>
          <w:iCs/>
          <w:color w:val="000000"/>
        </w:rPr>
        <w:t>qu’All</w:t>
      </w:r>
      <w:r w:rsidR="0049205E">
        <w:rPr>
          <w:i/>
          <w:iCs/>
          <w:color w:val="000000"/>
        </w:rPr>
        <w:t>â</w:t>
      </w:r>
      <w:r w:rsidR="0049205E" w:rsidRPr="00F375EC">
        <w:rPr>
          <w:i/>
          <w:iCs/>
          <w:color w:val="000000"/>
        </w:rPr>
        <w:t>h lui fasse Miséricorde</w:t>
      </w:r>
      <w:r w:rsidR="0049205E" w:rsidRPr="00F375EC">
        <w:rPr>
          <w:color w:val="000000"/>
        </w:rPr>
        <w:t>-</w:t>
      </w:r>
      <w:r w:rsidRPr="0049205E">
        <w:rPr>
          <w:rFonts w:asciiTheme="majorBidi" w:hAnsiTheme="majorBidi" w:cstheme="majorBidi"/>
          <w:color w:val="000000"/>
          <w:szCs w:val="24"/>
        </w:rPr>
        <w:t xml:space="preserve"> a dit : </w:t>
      </w:r>
    </w:p>
    <w:p w:rsidR="0049205E" w:rsidRPr="0049205E" w:rsidRDefault="0049205E" w:rsidP="00CC49AB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</w:p>
    <w:p w:rsidR="00CC49AB" w:rsidRPr="0049205E" w:rsidRDefault="00CC49AB" w:rsidP="00CC49AB">
      <w:pPr>
        <w:pStyle w:val="Sansinterligne"/>
        <w:bidi/>
        <w:jc w:val="both"/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>فإن</w:t>
      </w:r>
      <w:proofErr w:type="gramEnd"/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حقيقة الدين هو الطاعة والانقياد وذلك إنما يتم بالفعل لا بالقول فقط فمن لم يفعل لله شيئا فما دان لله دينا ومن لا دين له فهو كافر.</w:t>
      </w:r>
    </w:p>
    <w:p w:rsidR="0049205E" w:rsidRDefault="0049205E" w:rsidP="00CC49AB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</w:p>
    <w:p w:rsidR="00CC49AB" w:rsidRPr="008018D9" w:rsidRDefault="00CC49AB" w:rsidP="00CC49AB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  <w:r w:rsidRPr="008018D9">
        <w:rPr>
          <w:rFonts w:asciiTheme="majorBidi" w:hAnsiTheme="majorBidi" w:cstheme="majorBidi"/>
          <w:color w:val="000000"/>
          <w:szCs w:val="24"/>
        </w:rPr>
        <w:t>« 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La réalité du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, c’est </w:t>
      </w:r>
      <w:r w:rsidRPr="0049205E">
        <w:rPr>
          <w:rFonts w:asciiTheme="majorBidi" w:hAnsiTheme="majorBidi" w:cstheme="majorBidi"/>
          <w:b/>
          <w:bCs/>
          <w:color w:val="00B050"/>
          <w:szCs w:val="24"/>
          <w:u w:val="single"/>
        </w:rPr>
        <w:t>l’obéissance et la soumission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, et ceci ne peut s’accomplir que par l’acte et non par la parole uniquement : celui qui ne fait rien pour Allah n’a aucun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, et celui qui n’a pas de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est un mécréant.</w:t>
      </w:r>
      <w:r w:rsidRPr="0049205E">
        <w:rPr>
          <w:rFonts w:asciiTheme="majorBidi" w:hAnsiTheme="majorBidi" w:cstheme="majorBidi"/>
          <w:b/>
          <w:bCs/>
          <w:color w:val="000000"/>
          <w:szCs w:val="24"/>
        </w:rPr>
        <w:t> </w:t>
      </w:r>
      <w:r w:rsidRPr="008018D9">
        <w:rPr>
          <w:rFonts w:asciiTheme="majorBidi" w:hAnsiTheme="majorBidi" w:cstheme="majorBidi"/>
          <w:color w:val="000000"/>
          <w:szCs w:val="24"/>
        </w:rPr>
        <w:t>»</w:t>
      </w:r>
      <w:r w:rsidR="0049205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"/>
      </w:r>
    </w:p>
    <w:p w:rsidR="00CC49AB" w:rsidRPr="008018D9" w:rsidRDefault="00CC49AB" w:rsidP="00CC49AB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</w:p>
    <w:p w:rsidR="00CC49AB" w:rsidRDefault="00CC49AB" w:rsidP="0049205E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  <w:r w:rsidRPr="008018D9">
        <w:rPr>
          <w:rFonts w:asciiTheme="majorBidi" w:hAnsiTheme="majorBidi" w:cstheme="majorBidi"/>
          <w:color w:val="000000"/>
          <w:szCs w:val="24"/>
        </w:rPr>
        <w:t xml:space="preserve">Ibn </w:t>
      </w:r>
      <w:proofErr w:type="spellStart"/>
      <w:r w:rsidRPr="008018D9">
        <w:rPr>
          <w:rFonts w:asciiTheme="majorBidi" w:hAnsiTheme="majorBidi" w:cstheme="majorBidi"/>
          <w:color w:val="000000"/>
          <w:szCs w:val="24"/>
        </w:rPr>
        <w:t>Taymiya</w:t>
      </w:r>
      <w:proofErr w:type="spellEnd"/>
      <w:r w:rsidRPr="008018D9">
        <w:rPr>
          <w:rFonts w:asciiTheme="majorBidi" w:hAnsiTheme="majorBidi" w:cstheme="majorBidi"/>
          <w:color w:val="000000"/>
          <w:szCs w:val="24"/>
        </w:rPr>
        <w:t xml:space="preserve"> dit aussi </w:t>
      </w:r>
      <w:r w:rsidR="0049205E" w:rsidRPr="00F375EC">
        <w:rPr>
          <w:color w:val="000000"/>
        </w:rPr>
        <w:t>-</w:t>
      </w:r>
      <w:r w:rsidR="0049205E" w:rsidRPr="00F375EC">
        <w:rPr>
          <w:i/>
          <w:iCs/>
          <w:color w:val="000000"/>
        </w:rPr>
        <w:t>qu’All</w:t>
      </w:r>
      <w:r w:rsidR="0049205E">
        <w:rPr>
          <w:i/>
          <w:iCs/>
          <w:color w:val="000000"/>
        </w:rPr>
        <w:t>â</w:t>
      </w:r>
      <w:r w:rsidR="0049205E" w:rsidRPr="00F375EC">
        <w:rPr>
          <w:i/>
          <w:iCs/>
          <w:color w:val="000000"/>
        </w:rPr>
        <w:t>h lui fasse Miséricorde</w:t>
      </w:r>
      <w:r w:rsidR="0049205E" w:rsidRPr="00F375EC">
        <w:rPr>
          <w:color w:val="000000"/>
        </w:rPr>
        <w:t>-</w:t>
      </w:r>
      <w:r w:rsidR="0049205E">
        <w:rPr>
          <w:color w:val="000000"/>
        </w:rPr>
        <w:t xml:space="preserve"> : </w:t>
      </w:r>
    </w:p>
    <w:p w:rsidR="00CC49AB" w:rsidRPr="008018D9" w:rsidRDefault="00CC49AB" w:rsidP="00CC49AB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</w:p>
    <w:p w:rsidR="00CC49AB" w:rsidRPr="0049205E" w:rsidRDefault="00CC49AB" w:rsidP="00CC49AB">
      <w:pPr>
        <w:pStyle w:val="Sansinterligne"/>
        <w:bidi/>
        <w:jc w:val="both"/>
        <w:rPr>
          <w:rFonts w:asciiTheme="majorBidi" w:hAnsiTheme="majorBidi" w:cstheme="majorBidi"/>
          <w:color w:val="000000"/>
          <w:sz w:val="32"/>
          <w:szCs w:val="32"/>
          <w:rtl/>
          <w:lang w:val="fr-BE"/>
        </w:rPr>
      </w:pPr>
      <w:r w:rsidRPr="0049205E">
        <w:rPr>
          <w:rStyle w:val="lev"/>
          <w:rFonts w:asciiTheme="majorBidi" w:hAnsiTheme="majorBidi" w:cstheme="majorBidi"/>
          <w:color w:val="000000"/>
          <w:sz w:val="32"/>
          <w:szCs w:val="32"/>
          <w:rtl/>
        </w:rPr>
        <w:t>المحبة والإرادة أصل كل دين</w:t>
      </w:r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سواء كان دينا صالحا أو دينا فاسدا فإن الدين هو من الأعمال </w:t>
      </w:r>
      <w:proofErr w:type="spellStart"/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>الباطنة</w:t>
      </w:r>
      <w:proofErr w:type="spellEnd"/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والظاهرة والمحبة والإرادة أصل ذلك كله </w:t>
      </w:r>
      <w:r w:rsidRPr="0049205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والدين هو الطاعة والعبادة والخلق فهو الطاعة الدائمة اللازمة التي قد صارت عادة وخلقا بخلاف الطاعة مرة واحدة</w:t>
      </w:r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Pr="0049205E">
        <w:rPr>
          <w:rStyle w:val="lev"/>
          <w:rFonts w:asciiTheme="majorBidi" w:hAnsiTheme="majorBidi" w:cstheme="majorBidi"/>
          <w:color w:val="000000"/>
          <w:sz w:val="32"/>
          <w:szCs w:val="32"/>
          <w:rtl/>
        </w:rPr>
        <w:t>ولهذا فسر الدين</w:t>
      </w:r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بالعادة والخلق ويفسر الخلق بالدين أيضا كما في قوله تعالى </w:t>
      </w:r>
      <w:r w:rsidRPr="0049205E">
        <w:rPr>
          <w:rStyle w:val="lev"/>
          <w:rFonts w:asciiTheme="majorBidi" w:hAnsiTheme="majorBidi" w:cstheme="majorBidi"/>
          <w:color w:val="000000"/>
          <w:sz w:val="32"/>
          <w:szCs w:val="32"/>
          <w:rtl/>
        </w:rPr>
        <w:t>{وَإِنَّكَ لَعَلَى خُلُقٍ عَظِيمٍ}</w:t>
      </w:r>
      <w:r w:rsidRPr="0049205E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قال ابن عباس على دين عظيم</w:t>
      </w:r>
    </w:p>
    <w:p w:rsidR="00CC49AB" w:rsidRDefault="00CC49AB" w:rsidP="00CC49AB">
      <w:pPr>
        <w:pStyle w:val="Sansinterligne"/>
        <w:jc w:val="both"/>
        <w:rPr>
          <w:rFonts w:asciiTheme="majorBidi" w:hAnsiTheme="majorBidi" w:cstheme="majorBidi"/>
          <w:color w:val="000000"/>
          <w:szCs w:val="24"/>
        </w:rPr>
      </w:pPr>
    </w:p>
    <w:p w:rsidR="0049205E" w:rsidRPr="0049205E" w:rsidRDefault="00CC49AB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  <w:r w:rsidRPr="008018D9">
        <w:rPr>
          <w:rFonts w:asciiTheme="majorBidi" w:hAnsiTheme="majorBidi" w:cstheme="majorBidi"/>
          <w:color w:val="000000"/>
          <w:szCs w:val="24"/>
        </w:rPr>
        <w:t>« 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L’amour et la volonté sont le fondement de tout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, que cela soit un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pieux ou un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corrompu, En effet, le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provient des actes intérieurs et extérieurs, or, l’amour et la volonté sont le fondement de tout cela. </w:t>
      </w:r>
    </w:p>
    <w:p w:rsidR="0049205E" w:rsidRPr="0049205E" w:rsidRDefault="0049205E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49205E" w:rsidRPr="0049205E" w:rsidRDefault="00CC49AB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Et le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est : l’obéissance, l’adoration et l’attitude. </w:t>
      </w:r>
      <w:r w:rsidRPr="0049205E">
        <w:rPr>
          <w:rFonts w:asciiTheme="majorBidi" w:hAnsiTheme="majorBidi" w:cstheme="majorBidi"/>
          <w:b/>
          <w:bCs/>
          <w:color w:val="00B050"/>
          <w:szCs w:val="24"/>
          <w:u w:val="single"/>
        </w:rPr>
        <w:t>C’est donc l’obéissance permanente et inséparable qui devient une habitude et une conduite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, contrairement à l’obéissance qui n’arrive qu’une foi. </w:t>
      </w:r>
    </w:p>
    <w:p w:rsidR="0049205E" w:rsidRPr="0049205E" w:rsidRDefault="0049205E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49205E" w:rsidRPr="0049205E" w:rsidRDefault="00CC49AB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  <w:r w:rsidRPr="0049205E">
        <w:rPr>
          <w:rFonts w:asciiTheme="majorBidi" w:hAnsiTheme="majorBidi" w:cstheme="majorBidi"/>
          <w:b/>
          <w:bCs/>
          <w:color w:val="00B050"/>
          <w:szCs w:val="24"/>
        </w:rPr>
        <w:t>C’est pour cette raison que le terme « 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 » est interprété comme signifiant « L’habitude et la conduite. » On interprète également la conduite comme signifiant « Le </w:t>
      </w:r>
      <w:proofErr w:type="spellStart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00B050"/>
          <w:szCs w:val="24"/>
        </w:rPr>
        <w:t> » comme pour la parole d’Allah</w:t>
      </w:r>
      <w:r w:rsidR="0049205E" w:rsidRPr="0049205E">
        <w:rPr>
          <w:rFonts w:asciiTheme="majorBidi" w:hAnsiTheme="majorBidi" w:cstheme="majorBidi"/>
          <w:b/>
          <w:bCs/>
          <w:color w:val="00B050"/>
          <w:szCs w:val="24"/>
        </w:rPr>
        <w:t> :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</w:p>
    <w:p w:rsidR="0049205E" w:rsidRPr="0049205E" w:rsidRDefault="0049205E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49205E" w:rsidRPr="0049205E" w:rsidRDefault="00CC49AB" w:rsidP="0049205E">
      <w:pPr>
        <w:pStyle w:val="Sansinterligne"/>
        <w:jc w:val="center"/>
        <w:rPr>
          <w:rFonts w:asciiTheme="majorBidi" w:hAnsiTheme="majorBidi" w:cstheme="majorBidi"/>
          <w:b/>
          <w:bCs/>
          <w:color w:val="00B050"/>
          <w:szCs w:val="24"/>
        </w:rPr>
      </w:pPr>
      <w:r w:rsidRPr="0049205E">
        <w:rPr>
          <w:rFonts w:asciiTheme="majorBidi" w:hAnsiTheme="majorBidi" w:cstheme="majorBidi"/>
          <w:b/>
          <w:bCs/>
          <w:color w:val="00B050"/>
          <w:szCs w:val="24"/>
        </w:rPr>
        <w:t>« </w:t>
      </w:r>
      <w:r w:rsidRPr="0049205E">
        <w:rPr>
          <w:rFonts w:asciiTheme="majorBidi" w:hAnsiTheme="majorBidi" w:cstheme="majorBidi"/>
          <w:b/>
          <w:bCs/>
          <w:color w:val="FF0000"/>
          <w:szCs w:val="24"/>
        </w:rPr>
        <w:t>Et tu es certes, d’une moralité éminente.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> »</w:t>
      </w:r>
      <w:r w:rsidR="0049205E" w:rsidRPr="0049205E">
        <w:rPr>
          <w:rStyle w:val="Appelnotedebasdep"/>
          <w:rFonts w:asciiTheme="majorBidi" w:hAnsiTheme="majorBidi" w:cstheme="majorBidi"/>
          <w:b/>
          <w:bCs/>
          <w:color w:val="00B050"/>
          <w:szCs w:val="24"/>
        </w:rPr>
        <w:footnoteReference w:id="2"/>
      </w:r>
      <w:r w:rsidR="0049205E" w:rsidRPr="0049205E">
        <w:rPr>
          <w:rFonts w:asciiTheme="majorBidi" w:hAnsiTheme="majorBidi" w:cstheme="majorBidi"/>
          <w:b/>
          <w:bCs/>
          <w:color w:val="00B050"/>
          <w:szCs w:val="24"/>
        </w:rPr>
        <w:t>.</w:t>
      </w:r>
    </w:p>
    <w:p w:rsidR="0049205E" w:rsidRPr="0049205E" w:rsidRDefault="0049205E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CC49AB" w:rsidRPr="008018D9" w:rsidRDefault="00CC49AB" w:rsidP="0049205E">
      <w:pPr>
        <w:pStyle w:val="Sansinterligne"/>
        <w:jc w:val="both"/>
        <w:rPr>
          <w:rFonts w:asciiTheme="majorBidi" w:hAnsiTheme="majorBidi" w:cstheme="majorBidi"/>
          <w:b/>
          <w:bCs/>
          <w:color w:val="000000"/>
          <w:szCs w:val="24"/>
          <w:u w:val="single"/>
        </w:rPr>
      </w:pPr>
      <w:r w:rsidRPr="0049205E">
        <w:rPr>
          <w:rFonts w:asciiTheme="majorBidi" w:hAnsiTheme="majorBidi" w:cstheme="majorBidi"/>
          <w:b/>
          <w:bCs/>
          <w:color w:val="00B050"/>
          <w:szCs w:val="24"/>
        </w:rPr>
        <w:t>Ibn ‘Abbâs</w:t>
      </w:r>
      <w:r w:rsidR="0049205E"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="0049205E" w:rsidRPr="0049205E">
        <w:rPr>
          <w:b/>
          <w:bCs/>
          <w:color w:val="00B050"/>
        </w:rPr>
        <w:t>-</w:t>
      </w:r>
      <w:r w:rsidR="0049205E" w:rsidRPr="0049205E">
        <w:rPr>
          <w:b/>
          <w:bCs/>
          <w:i/>
          <w:iCs/>
          <w:color w:val="00B050"/>
        </w:rPr>
        <w:t>qu’Allâh l’agrée</w:t>
      </w:r>
      <w:r w:rsidR="0049205E" w:rsidRPr="0049205E">
        <w:rPr>
          <w:b/>
          <w:bCs/>
          <w:color w:val="00B050"/>
        </w:rPr>
        <w:t>-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 xml:space="preserve"> dit « </w:t>
      </w:r>
      <w:r w:rsidRPr="0049205E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D’un </w:t>
      </w:r>
      <w:proofErr w:type="spellStart"/>
      <w:r w:rsidRPr="0049205E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Dîn</w:t>
      </w:r>
      <w:proofErr w:type="spellEnd"/>
      <w:r w:rsidRPr="0049205E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éminent…</w:t>
      </w:r>
      <w:r w:rsidRPr="0049205E">
        <w:rPr>
          <w:rFonts w:asciiTheme="majorBidi" w:hAnsiTheme="majorBidi" w:cstheme="majorBidi"/>
          <w:b/>
          <w:bCs/>
          <w:color w:val="00B050"/>
          <w:szCs w:val="24"/>
        </w:rPr>
        <w:t> »</w:t>
      </w:r>
      <w:r w:rsidRPr="008018D9">
        <w:rPr>
          <w:rFonts w:asciiTheme="majorBidi" w:hAnsiTheme="majorBidi" w:cstheme="majorBidi"/>
          <w:color w:val="000000"/>
          <w:szCs w:val="24"/>
        </w:rPr>
        <w:t> »</w:t>
      </w:r>
      <w:r w:rsidR="0049205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"/>
      </w:r>
    </w:p>
    <w:p w:rsidR="00CC49AB" w:rsidRDefault="00CC49AB"/>
    <w:p w:rsidR="00CC49AB" w:rsidRPr="00CC49AB" w:rsidRDefault="00CC49AB" w:rsidP="0049205E">
      <w:pPr>
        <w:pStyle w:val="Sansinterligne"/>
        <w:rPr>
          <w:rFonts w:asciiTheme="majorBidi" w:hAnsiTheme="majorBidi" w:cstheme="majorBidi"/>
          <w:sz w:val="32"/>
          <w:szCs w:val="32"/>
        </w:rPr>
      </w:pPr>
      <w:r w:rsidRPr="00CC49AB">
        <w:rPr>
          <w:rFonts w:eastAsia="Calibri" w:cs="Times New Roman"/>
        </w:rPr>
        <w:t xml:space="preserve">Et Ibn </w:t>
      </w:r>
      <w:proofErr w:type="spellStart"/>
      <w:r w:rsidRPr="00CC49AB">
        <w:rPr>
          <w:rFonts w:eastAsia="Calibri" w:cs="Times New Roman"/>
        </w:rPr>
        <w:t>Taymiya</w:t>
      </w:r>
      <w:proofErr w:type="spellEnd"/>
      <w:r w:rsidRPr="00CC49AB">
        <w:rPr>
          <w:rFonts w:eastAsia="Calibri" w:cs="Times New Roman"/>
        </w:rPr>
        <w:t xml:space="preserve"> </w:t>
      </w:r>
      <w:r w:rsidR="0049205E" w:rsidRPr="00F375EC">
        <w:rPr>
          <w:color w:val="000000"/>
        </w:rPr>
        <w:t>-</w:t>
      </w:r>
      <w:r w:rsidR="0049205E" w:rsidRPr="00F375EC">
        <w:rPr>
          <w:i/>
          <w:iCs/>
          <w:color w:val="000000"/>
        </w:rPr>
        <w:t>qu’All</w:t>
      </w:r>
      <w:r w:rsidR="0049205E">
        <w:rPr>
          <w:i/>
          <w:iCs/>
          <w:color w:val="000000"/>
        </w:rPr>
        <w:t>â</w:t>
      </w:r>
      <w:r w:rsidR="0049205E" w:rsidRPr="00F375EC">
        <w:rPr>
          <w:i/>
          <w:iCs/>
          <w:color w:val="000000"/>
        </w:rPr>
        <w:t>h lui fasse Miséricorde</w:t>
      </w:r>
      <w:r w:rsidR="0049205E" w:rsidRPr="00F375EC">
        <w:rPr>
          <w:color w:val="000000"/>
        </w:rPr>
        <w:t>-</w:t>
      </w:r>
      <w:r w:rsidR="0049205E">
        <w:rPr>
          <w:color w:val="000000"/>
        </w:rPr>
        <w:t xml:space="preserve"> </w:t>
      </w:r>
      <w:r w:rsidRPr="00CC49AB">
        <w:rPr>
          <w:rFonts w:eastAsia="Calibri" w:cs="Times New Roman"/>
        </w:rPr>
        <w:t>dit au sujet du combat des Tatars :</w:t>
      </w:r>
    </w:p>
    <w:p w:rsidR="00CC49AB" w:rsidRPr="00CC49AB" w:rsidRDefault="00CC49AB" w:rsidP="00CC49AB">
      <w:pPr>
        <w:pStyle w:val="Sansinterligne"/>
        <w:rPr>
          <w:rFonts w:eastAsia="Calibri" w:cs="Times New Roman"/>
          <w:sz w:val="32"/>
          <w:szCs w:val="32"/>
        </w:rPr>
      </w:pPr>
    </w:p>
    <w:p w:rsidR="00CC49AB" w:rsidRPr="00CC49AB" w:rsidRDefault="00CC49AB" w:rsidP="00CC49AB">
      <w:pPr>
        <w:pStyle w:val="Sansinterligne"/>
        <w:bidi/>
        <w:rPr>
          <w:rFonts w:eastAsia="Calibri" w:cs="Times New Roman"/>
          <w:sz w:val="32"/>
          <w:szCs w:val="32"/>
        </w:rPr>
      </w:pPr>
      <w:r w:rsidRPr="00CC49AB">
        <w:rPr>
          <w:rFonts w:eastAsia="Calibri" w:cs="Times New Roman"/>
          <w:sz w:val="32"/>
          <w:szCs w:val="32"/>
          <w:rtl/>
        </w:rPr>
        <w:t xml:space="preserve">فإن الله يقول </w:t>
      </w:r>
      <w:proofErr w:type="spellStart"/>
      <w:r w:rsidRPr="00CC49AB">
        <w:rPr>
          <w:rFonts w:eastAsia="Calibri" w:cs="Times New Roman"/>
          <w:sz w:val="32"/>
          <w:szCs w:val="32"/>
          <w:rtl/>
        </w:rPr>
        <w:t>فى</w:t>
      </w:r>
      <w:proofErr w:type="spellEnd"/>
      <w:r w:rsidRPr="00CC49AB">
        <w:rPr>
          <w:rFonts w:eastAsia="Calibri" w:cs="Times New Roman"/>
          <w:sz w:val="32"/>
          <w:szCs w:val="32"/>
          <w:rtl/>
        </w:rPr>
        <w:t xml:space="preserve"> القرآن‏:‏ ‏</w:t>
      </w:r>
      <w:r w:rsidRPr="00CC49AB">
        <w:rPr>
          <w:rStyle w:val="lev"/>
          <w:rFonts w:eastAsia="Calibri" w:cs="Times New Roman"/>
          <w:b w:val="0"/>
          <w:bCs w:val="0"/>
          <w:sz w:val="32"/>
          <w:szCs w:val="32"/>
          <w:rtl/>
        </w:rPr>
        <w:t>{وَقَاتِلُوهُمْ حَتَّى لاَ تَكُونَ فِتْنَةٌ وَيَكُونَ الدِّينُ كُلُّهُ‏}‏</w:t>
      </w:r>
      <w:r w:rsidRPr="00CC49AB">
        <w:rPr>
          <w:rFonts w:eastAsia="Calibri" w:cs="Times New Roman"/>
          <w:sz w:val="32"/>
          <w:szCs w:val="32"/>
          <w:rtl/>
        </w:rPr>
        <w:t xml:space="preserve"> ‏[‏الأنفال‏:‏ 39‏]‏، والدين هو الطاعة، فإذا كان بعض الدين لله وبعضه لغير الله، وجب القتال حتى يكون الدين كله لله؛</w:t>
      </w:r>
    </w:p>
    <w:p w:rsidR="00CC49AB" w:rsidRPr="00CC49AB" w:rsidRDefault="00CC49AB" w:rsidP="00CC49AB">
      <w:pPr>
        <w:pStyle w:val="Sansinterligne"/>
        <w:rPr>
          <w:rFonts w:asciiTheme="majorBidi" w:hAnsiTheme="majorBidi" w:cstheme="majorBidi"/>
        </w:rPr>
      </w:pPr>
    </w:p>
    <w:p w:rsidR="0049205E" w:rsidRPr="0049205E" w:rsidRDefault="00CC49AB" w:rsidP="00CC49AB">
      <w:pPr>
        <w:pStyle w:val="Sansinterligne"/>
        <w:rPr>
          <w:rFonts w:eastAsia="Calibri" w:cs="Times New Roman"/>
          <w:b/>
          <w:bCs/>
          <w:color w:val="00B050"/>
        </w:rPr>
      </w:pPr>
      <w:r w:rsidRPr="00CC49AB">
        <w:rPr>
          <w:rFonts w:eastAsia="Calibri" w:cs="Times New Roman"/>
        </w:rPr>
        <w:t>« </w:t>
      </w:r>
      <w:r w:rsidRPr="0049205E">
        <w:rPr>
          <w:rFonts w:eastAsia="Calibri" w:cs="Times New Roman"/>
          <w:b/>
          <w:bCs/>
          <w:color w:val="00B050"/>
        </w:rPr>
        <w:t xml:space="preserve">Allah dit dans le Coran : « Et combattez les jusqu’à ce qu’il n’y ait plus de </w:t>
      </w:r>
      <w:proofErr w:type="spellStart"/>
      <w:r w:rsidRPr="0049205E">
        <w:rPr>
          <w:rFonts w:eastAsia="Calibri" w:cs="Times New Roman"/>
          <w:b/>
          <w:bCs/>
          <w:color w:val="00B050"/>
        </w:rPr>
        <w:t>Fitna</w:t>
      </w:r>
      <w:proofErr w:type="spellEnd"/>
      <w:r w:rsidRPr="0049205E">
        <w:rPr>
          <w:rFonts w:eastAsia="Calibri" w:cs="Times New Roman"/>
          <w:b/>
          <w:bCs/>
          <w:color w:val="00B050"/>
        </w:rPr>
        <w:t xml:space="preserve">, et que le </w:t>
      </w:r>
      <w:proofErr w:type="spellStart"/>
      <w:r w:rsidRPr="0049205E">
        <w:rPr>
          <w:rFonts w:eastAsia="Calibri" w:cs="Times New Roman"/>
          <w:b/>
          <w:bCs/>
          <w:color w:val="00B050"/>
        </w:rPr>
        <w:t>Dîn</w:t>
      </w:r>
      <w:proofErr w:type="spellEnd"/>
      <w:r w:rsidRPr="0049205E">
        <w:rPr>
          <w:rFonts w:eastAsia="Calibri" w:cs="Times New Roman"/>
          <w:b/>
          <w:bCs/>
          <w:color w:val="00B050"/>
        </w:rPr>
        <w:t xml:space="preserve"> soit totalement à Allah » Or le </w:t>
      </w:r>
      <w:proofErr w:type="spellStart"/>
      <w:r w:rsidRPr="0049205E">
        <w:rPr>
          <w:rFonts w:eastAsia="Calibri" w:cs="Times New Roman"/>
          <w:b/>
          <w:bCs/>
          <w:color w:val="00B050"/>
        </w:rPr>
        <w:t>Dîn</w:t>
      </w:r>
      <w:proofErr w:type="spellEnd"/>
      <w:r w:rsidRPr="0049205E">
        <w:rPr>
          <w:rFonts w:eastAsia="Calibri" w:cs="Times New Roman"/>
          <w:b/>
          <w:bCs/>
          <w:color w:val="00B050"/>
        </w:rPr>
        <w:t xml:space="preserve"> est : l’obéissance. </w:t>
      </w:r>
    </w:p>
    <w:p w:rsidR="0049205E" w:rsidRPr="0049205E" w:rsidRDefault="0049205E" w:rsidP="00CC49AB">
      <w:pPr>
        <w:pStyle w:val="Sansinterligne"/>
        <w:rPr>
          <w:rFonts w:eastAsia="Calibri" w:cs="Times New Roman"/>
          <w:b/>
          <w:bCs/>
          <w:color w:val="00B050"/>
        </w:rPr>
      </w:pPr>
    </w:p>
    <w:p w:rsidR="00CC49AB" w:rsidRPr="00CC49AB" w:rsidRDefault="00CC49AB" w:rsidP="00CC49AB">
      <w:pPr>
        <w:pStyle w:val="Sansinterligne"/>
        <w:rPr>
          <w:rFonts w:eastAsia="Calibri" w:cs="Times New Roman"/>
        </w:rPr>
      </w:pPr>
      <w:r w:rsidRPr="0049205E">
        <w:rPr>
          <w:rFonts w:eastAsia="Calibri" w:cs="Times New Roman"/>
          <w:b/>
          <w:bCs/>
          <w:color w:val="00B050"/>
        </w:rPr>
        <w:t xml:space="preserve">Dès lors, si une partie du </w:t>
      </w:r>
      <w:proofErr w:type="spellStart"/>
      <w:r w:rsidRPr="0049205E">
        <w:rPr>
          <w:rFonts w:eastAsia="Calibri" w:cs="Times New Roman"/>
          <w:b/>
          <w:bCs/>
          <w:color w:val="00B050"/>
        </w:rPr>
        <w:t>Dîn</w:t>
      </w:r>
      <w:proofErr w:type="spellEnd"/>
      <w:r w:rsidRPr="0049205E">
        <w:rPr>
          <w:rFonts w:eastAsia="Calibri" w:cs="Times New Roman"/>
          <w:b/>
          <w:bCs/>
          <w:color w:val="00B050"/>
        </w:rPr>
        <w:t xml:space="preserve"> est envers Allah et une autre envers un autre qu’Allah, il sera obligatoire de combattre jusqu’à ce que le </w:t>
      </w:r>
      <w:proofErr w:type="spellStart"/>
      <w:r w:rsidRPr="0049205E">
        <w:rPr>
          <w:rFonts w:eastAsia="Calibri" w:cs="Times New Roman"/>
          <w:b/>
          <w:bCs/>
          <w:color w:val="00B050"/>
        </w:rPr>
        <w:t>Dîn</w:t>
      </w:r>
      <w:proofErr w:type="spellEnd"/>
      <w:r w:rsidRPr="0049205E">
        <w:rPr>
          <w:rFonts w:eastAsia="Calibri" w:cs="Times New Roman"/>
          <w:b/>
          <w:bCs/>
          <w:color w:val="00B050"/>
        </w:rPr>
        <w:t xml:space="preserve"> soit entièrement à Allah.</w:t>
      </w:r>
      <w:r w:rsidRPr="00CC49AB">
        <w:rPr>
          <w:rFonts w:eastAsia="Calibri" w:cs="Times New Roman"/>
        </w:rPr>
        <w:t> »</w:t>
      </w:r>
      <w:r w:rsidR="0049205E">
        <w:rPr>
          <w:rStyle w:val="Appelnotedebasdep"/>
          <w:rFonts w:eastAsia="Calibri" w:cs="Times New Roman"/>
        </w:rPr>
        <w:footnoteReference w:id="4"/>
      </w:r>
      <w:r w:rsidRPr="00CC49AB">
        <w:rPr>
          <w:rFonts w:eastAsia="Calibri" w:cs="Times New Roman"/>
        </w:rPr>
        <w:t xml:space="preserve"> </w:t>
      </w:r>
    </w:p>
    <w:p w:rsidR="00CC49AB" w:rsidRDefault="00CC49AB"/>
    <w:sectPr w:rsidR="00CC49AB" w:rsidSect="0049205E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26" w:rsidRDefault="00611B26" w:rsidP="00C558F2">
      <w:r>
        <w:separator/>
      </w:r>
    </w:p>
  </w:endnote>
  <w:endnote w:type="continuationSeparator" w:id="0">
    <w:p w:rsidR="00611B26" w:rsidRDefault="00611B26" w:rsidP="00C5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</w:rPr>
      <w:id w:val="848272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C558F2" w:rsidRPr="00813800" w:rsidRDefault="00C558F2" w:rsidP="00C558F2">
        <w:pPr>
          <w:pStyle w:val="Pieddepage"/>
          <w:jc w:val="right"/>
          <w:rPr>
            <w:rFonts w:asciiTheme="majorBidi" w:hAnsiTheme="majorBidi" w:cstheme="majorBidi"/>
          </w:rPr>
        </w:pPr>
        <w:r w:rsidRPr="00813800">
          <w:rPr>
            <w:rFonts w:asciiTheme="majorBidi" w:hAnsiTheme="majorBidi" w:cstheme="majorBidi"/>
            <w:b/>
            <w:bCs/>
          </w:rPr>
          <w:fldChar w:fldCharType="begin"/>
        </w:r>
        <w:r w:rsidRPr="0081380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813800">
          <w:rPr>
            <w:rFonts w:asciiTheme="majorBidi" w:hAnsiTheme="majorBidi" w:cstheme="majorBidi"/>
            <w:b/>
            <w:bCs/>
          </w:rPr>
          <w:fldChar w:fldCharType="separate"/>
        </w:r>
        <w:r w:rsidR="00F81088">
          <w:rPr>
            <w:rFonts w:asciiTheme="majorBidi" w:hAnsiTheme="majorBidi" w:cstheme="majorBidi"/>
            <w:b/>
            <w:bCs/>
            <w:noProof/>
          </w:rPr>
          <w:t>3</w:t>
        </w:r>
        <w:r w:rsidRPr="00813800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sdt>
    <w:sdtPr>
      <w:rPr>
        <w:rFonts w:asciiTheme="majorBidi" w:hAnsiTheme="majorBidi" w:cstheme="majorBidi"/>
        <w:b/>
        <w:bCs/>
        <w:sz w:val="28"/>
        <w:szCs w:val="28"/>
      </w:rPr>
      <w:id w:val="66406374"/>
      <w:docPartObj>
        <w:docPartGallery w:val="Page Numbers (Bottom of Page)"/>
        <w:docPartUnique/>
      </w:docPartObj>
    </w:sdtPr>
    <w:sdtContent>
      <w:p w:rsidR="00C558F2" w:rsidRPr="00813800" w:rsidRDefault="00C558F2" w:rsidP="00C558F2">
        <w:pPr>
          <w:pStyle w:val="Pieddepage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hyperlink r:id="rId1" w:history="1">
          <w:r w:rsidRPr="00813800">
            <w:rPr>
              <w:rStyle w:val="Lienhypertexte"/>
              <w:rFonts w:asciiTheme="majorBidi" w:eastAsiaTheme="majorEastAsia" w:hAnsiTheme="majorBidi" w:cstheme="majorBidi"/>
              <w:b/>
              <w:bCs/>
              <w:sz w:val="28"/>
              <w:szCs w:val="28"/>
            </w:rPr>
            <w:t>http://bibliotheque-islamique-coran-sunna.over-blog.com/</w:t>
          </w:r>
          <w:r w:rsidRPr="00D26407">
            <w:rPr>
              <w:rStyle w:val="Lienhypertexte"/>
              <w:rFonts w:asciiTheme="majorBidi" w:eastAsiaTheme="majorEastAsia" w:hAnsiTheme="majorBidi" w:cstheme="majorBidi"/>
              <w:b/>
              <w:bCs/>
              <w:color w:val="auto"/>
              <w:sz w:val="28"/>
              <w:szCs w:val="28"/>
              <w:lang w:eastAsia="zh-TW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3" type="#_x0000_t32" style="position:absolute;left:0;text-align:left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<w10:wrap anchorx="margin" anchory="page"/>
              </v:shape>
            </w:pict>
          </w:r>
        </w:hyperlink>
      </w:p>
    </w:sdtContent>
  </w:sdt>
  <w:p w:rsidR="00C558F2" w:rsidRDefault="00C558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26" w:rsidRDefault="00611B26" w:rsidP="00C558F2">
      <w:r>
        <w:separator/>
      </w:r>
    </w:p>
  </w:footnote>
  <w:footnote w:type="continuationSeparator" w:id="0">
    <w:p w:rsidR="00611B26" w:rsidRDefault="00611B26" w:rsidP="00C558F2">
      <w:r>
        <w:continuationSeparator/>
      </w:r>
    </w:p>
  </w:footnote>
  <w:footnote w:id="1">
    <w:p w:rsidR="0049205E" w:rsidRDefault="0049205E" w:rsidP="004920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zCs w:val="24"/>
        </w:rPr>
        <w:t>Source : </w:t>
      </w:r>
      <w:proofErr w:type="spellStart"/>
      <w:r>
        <w:rPr>
          <w:rFonts w:asciiTheme="majorBidi" w:hAnsiTheme="majorBidi" w:cstheme="majorBidi"/>
          <w:color w:val="000000"/>
          <w:szCs w:val="24"/>
        </w:rPr>
        <w:t>Charh</w:t>
      </w:r>
      <w:proofErr w:type="spellEnd"/>
      <w:r>
        <w:rPr>
          <w:rFonts w:asciiTheme="majorBidi" w:hAnsiTheme="majorBidi" w:cstheme="majorBidi"/>
          <w:color w:val="000000"/>
          <w:szCs w:val="24"/>
        </w:rPr>
        <w:t xml:space="preserve"> Al ‘</w:t>
      </w:r>
      <w:proofErr w:type="spellStart"/>
      <w:r>
        <w:rPr>
          <w:rFonts w:asciiTheme="majorBidi" w:hAnsiTheme="majorBidi" w:cstheme="majorBidi"/>
          <w:color w:val="000000"/>
          <w:szCs w:val="24"/>
        </w:rPr>
        <w:t>Amda</w:t>
      </w:r>
      <w:proofErr w:type="spellEnd"/>
      <w:r w:rsidRPr="008018D9">
        <w:rPr>
          <w:rFonts w:asciiTheme="majorBidi" w:hAnsiTheme="majorBidi" w:cstheme="majorBidi"/>
          <w:color w:val="000000"/>
          <w:szCs w:val="24"/>
        </w:rPr>
        <w:t>, page 86</w:t>
      </w:r>
      <w:r>
        <w:rPr>
          <w:rFonts w:asciiTheme="majorBidi" w:hAnsiTheme="majorBidi" w:cstheme="majorBidi"/>
          <w:color w:val="000000"/>
          <w:szCs w:val="24"/>
        </w:rPr>
        <w:t>.</w:t>
      </w:r>
    </w:p>
  </w:footnote>
  <w:footnote w:id="2">
    <w:p w:rsidR="0049205E" w:rsidRDefault="0049205E" w:rsidP="004920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zCs w:val="24"/>
        </w:rPr>
        <w:t>S</w:t>
      </w:r>
      <w:r w:rsidRPr="0049205E">
        <w:rPr>
          <w:rFonts w:asciiTheme="majorBidi" w:hAnsiTheme="majorBidi" w:cstheme="majorBidi"/>
          <w:color w:val="000000"/>
          <w:szCs w:val="24"/>
        </w:rPr>
        <w:t>ourate 68</w:t>
      </w:r>
      <w:r>
        <w:rPr>
          <w:rFonts w:asciiTheme="majorBidi" w:hAnsiTheme="majorBidi" w:cstheme="majorBidi"/>
          <w:color w:val="000000"/>
          <w:szCs w:val="24"/>
        </w:rPr>
        <w:t>,</w:t>
      </w:r>
      <w:r w:rsidRPr="0049205E">
        <w:rPr>
          <w:rFonts w:asciiTheme="majorBidi" w:hAnsiTheme="majorBidi" w:cstheme="majorBidi"/>
          <w:color w:val="000000"/>
          <w:szCs w:val="24"/>
        </w:rPr>
        <w:t xml:space="preserve"> verset 4</w:t>
      </w:r>
      <w:r>
        <w:rPr>
          <w:rFonts w:asciiTheme="majorBidi" w:hAnsiTheme="majorBidi" w:cstheme="majorBidi"/>
          <w:color w:val="000000"/>
          <w:szCs w:val="24"/>
        </w:rPr>
        <w:t>.</w:t>
      </w:r>
    </w:p>
  </w:footnote>
  <w:footnote w:id="3">
    <w:p w:rsidR="0049205E" w:rsidRDefault="0049205E" w:rsidP="004920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zCs w:val="24"/>
        </w:rPr>
        <w:t>Source : </w:t>
      </w:r>
      <w:proofErr w:type="spellStart"/>
      <w:r>
        <w:rPr>
          <w:rFonts w:asciiTheme="majorBidi" w:hAnsiTheme="majorBidi" w:cstheme="majorBidi"/>
          <w:color w:val="000000"/>
          <w:szCs w:val="24"/>
        </w:rPr>
        <w:t>Qâ‘ida</w:t>
      </w:r>
      <w:proofErr w:type="spellEnd"/>
      <w:r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Cs w:val="24"/>
        </w:rPr>
        <w:t>fîl</w:t>
      </w:r>
      <w:proofErr w:type="spellEnd"/>
      <w:r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Cs w:val="24"/>
        </w:rPr>
        <w:t>mahabba</w:t>
      </w:r>
      <w:proofErr w:type="spellEnd"/>
      <w:r>
        <w:rPr>
          <w:rFonts w:asciiTheme="majorBidi" w:hAnsiTheme="majorBidi" w:cstheme="majorBidi"/>
          <w:color w:val="000000"/>
          <w:szCs w:val="24"/>
        </w:rPr>
        <w:t>,</w:t>
      </w:r>
      <w:r w:rsidRPr="008018D9">
        <w:rPr>
          <w:rFonts w:asciiTheme="majorBidi" w:hAnsiTheme="majorBidi" w:cstheme="majorBidi"/>
          <w:color w:val="000000"/>
          <w:szCs w:val="24"/>
        </w:rPr>
        <w:t xml:space="preserve"> page 32</w:t>
      </w:r>
      <w:r>
        <w:rPr>
          <w:rFonts w:asciiTheme="majorBidi" w:hAnsiTheme="majorBidi" w:cstheme="majorBidi"/>
          <w:color w:val="000000"/>
          <w:szCs w:val="24"/>
        </w:rPr>
        <w:t>.</w:t>
      </w:r>
    </w:p>
  </w:footnote>
  <w:footnote w:id="4">
    <w:p w:rsidR="0049205E" w:rsidRDefault="0049205E">
      <w:pPr>
        <w:pStyle w:val="Notedebasdepage"/>
      </w:pPr>
      <w:r>
        <w:rPr>
          <w:rStyle w:val="Appelnotedebasdep"/>
        </w:rPr>
        <w:footnoteRef/>
      </w:r>
      <w:r>
        <w:t xml:space="preserve"> Source : </w:t>
      </w:r>
      <w:proofErr w:type="spellStart"/>
      <w:r w:rsidRPr="00CC49AB">
        <w:rPr>
          <w:rFonts w:eastAsia="Calibri"/>
        </w:rPr>
        <w:t>Majmoû</w:t>
      </w:r>
      <w:proofErr w:type="spellEnd"/>
      <w:r w:rsidRPr="00CC49AB">
        <w:rPr>
          <w:rFonts w:eastAsia="Calibri"/>
        </w:rPr>
        <w:t xml:space="preserve">‘ </w:t>
      </w:r>
      <w:proofErr w:type="spellStart"/>
      <w:r w:rsidRPr="00CC49AB">
        <w:rPr>
          <w:rFonts w:eastAsia="Calibri"/>
        </w:rPr>
        <w:t>Fatâwâ</w:t>
      </w:r>
      <w:proofErr w:type="spellEnd"/>
      <w:r>
        <w:rPr>
          <w:rFonts w:eastAsia="Calibri"/>
        </w:rPr>
        <w:t>,</w:t>
      </w:r>
      <w:r w:rsidRPr="00CC49AB">
        <w:rPr>
          <w:rFonts w:eastAsia="Calibri"/>
        </w:rPr>
        <w:t xml:space="preserve"> volume 28</w:t>
      </w:r>
      <w:r>
        <w:rPr>
          <w:rFonts w:eastAsia="Calibri"/>
        </w:rPr>
        <w:t>,</w:t>
      </w:r>
      <w:r w:rsidRPr="00CC49AB">
        <w:rPr>
          <w:rFonts w:eastAsia="Calibri"/>
        </w:rPr>
        <w:t xml:space="preserve"> page 544</w:t>
      </w:r>
      <w:r>
        <w:rPr>
          <w:rFonts w:eastAsia="Calibri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49AB"/>
    <w:rsid w:val="00027B22"/>
    <w:rsid w:val="00044B3B"/>
    <w:rsid w:val="000C0174"/>
    <w:rsid w:val="000E6D84"/>
    <w:rsid w:val="001044C0"/>
    <w:rsid w:val="00107DEC"/>
    <w:rsid w:val="00152159"/>
    <w:rsid w:val="00155319"/>
    <w:rsid w:val="001C28F7"/>
    <w:rsid w:val="00244602"/>
    <w:rsid w:val="00280909"/>
    <w:rsid w:val="002852C3"/>
    <w:rsid w:val="00300C8F"/>
    <w:rsid w:val="00376300"/>
    <w:rsid w:val="003C1DFB"/>
    <w:rsid w:val="003C21F7"/>
    <w:rsid w:val="003D3DCC"/>
    <w:rsid w:val="00401A2D"/>
    <w:rsid w:val="00463B17"/>
    <w:rsid w:val="0049205E"/>
    <w:rsid w:val="004B08AB"/>
    <w:rsid w:val="00574E95"/>
    <w:rsid w:val="00576D00"/>
    <w:rsid w:val="00584A92"/>
    <w:rsid w:val="005C627F"/>
    <w:rsid w:val="005D4304"/>
    <w:rsid w:val="005F2C01"/>
    <w:rsid w:val="00610866"/>
    <w:rsid w:val="00611B2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9C09E5"/>
    <w:rsid w:val="00B1200F"/>
    <w:rsid w:val="00B51E11"/>
    <w:rsid w:val="00BB0B50"/>
    <w:rsid w:val="00BD7CC8"/>
    <w:rsid w:val="00C53C52"/>
    <w:rsid w:val="00C558F2"/>
    <w:rsid w:val="00C56B86"/>
    <w:rsid w:val="00CC49AB"/>
    <w:rsid w:val="00CD4EBD"/>
    <w:rsid w:val="00CE6706"/>
    <w:rsid w:val="00D15EBD"/>
    <w:rsid w:val="00DD202E"/>
    <w:rsid w:val="00ED292B"/>
    <w:rsid w:val="00ED5324"/>
    <w:rsid w:val="00EE3A29"/>
    <w:rsid w:val="00F15898"/>
    <w:rsid w:val="00F8108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F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uiPriority w:val="22"/>
    <w:qFormat/>
    <w:rsid w:val="00576D00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49AB"/>
    <w:rPr>
      <w:rFonts w:eastAsiaTheme="minorHAnsi" w:cstheme="minorBidi"/>
      <w:sz w:val="24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55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558F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55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8F2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558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8F2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8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8F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20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205E"/>
  </w:style>
  <w:style w:type="character" w:styleId="Appelnotedebasdep">
    <w:name w:val="footnote reference"/>
    <w:basedOn w:val="Policepardfaut"/>
    <w:uiPriority w:val="99"/>
    <w:semiHidden/>
    <w:unhideWhenUsed/>
    <w:rsid w:val="004920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0B5A-2F32-4F82-848E-E8AE55FB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2011-06-28T13:44:00Z</cp:lastPrinted>
  <dcterms:created xsi:type="dcterms:W3CDTF">2011-06-25T13:06:00Z</dcterms:created>
  <dcterms:modified xsi:type="dcterms:W3CDTF">2011-06-28T13:45:00Z</dcterms:modified>
</cp:coreProperties>
</file>