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Default="007C1028" w:rsidP="007C1028"/>
    <w:p w:rsidR="007C1028" w:rsidRPr="00CE66F6" w:rsidRDefault="007C1028" w:rsidP="007C1028">
      <w:pPr>
        <w:rPr>
          <w:rFonts w:asciiTheme="majorBidi" w:hAnsiTheme="majorBidi" w:cstheme="majorBidi"/>
        </w:rPr>
      </w:pPr>
    </w:p>
    <w:p w:rsidR="007C1028" w:rsidRDefault="007C1028" w:rsidP="007C1028">
      <w:pPr>
        <w:jc w:val="right"/>
        <w:rPr>
          <w:color w:val="7F7F7F"/>
          <w:sz w:val="32"/>
          <w:szCs w:val="32"/>
        </w:rPr>
      </w:pPr>
      <w:r w:rsidRPr="00AA23C9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7C1028" w:rsidTr="00B11BD3">
        <w:tc>
          <w:tcPr>
            <w:tcW w:w="9576" w:type="dxa"/>
          </w:tcPr>
          <w:p w:rsidR="007C1028" w:rsidRPr="005C5E4B" w:rsidRDefault="007C1028" w:rsidP="00B11B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spacing w:before="100" w:beforeAutospacing="1"/>
              <w:jc w:val="center"/>
              <w:rPr>
                <w:rFonts w:ascii="Book Antiqua" w:hAnsi="Book Antiqua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7C1028" w:rsidRPr="005C5E4B" w:rsidRDefault="007C1028" w:rsidP="00B11BD3">
            <w:pPr>
              <w:spacing w:before="100" w:beforeAutospacing="1"/>
              <w:jc w:val="center"/>
              <w:rPr>
                <w:i/>
                <w:iCs/>
                <w:color w:val="FFFFFF" w:themeColor="background1"/>
                <w:sz w:val="28"/>
                <w:szCs w:val="28"/>
              </w:rPr>
            </w:pPr>
            <w:r w:rsidRPr="005C5E4B">
              <w:rPr>
                <w:rFonts w:ascii="Book Antiqua" w:hAnsi="Book Antiqua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Par Taqî ad-Dîn Abî al-’Abbâs Ahmad Ibn Taymiyyah al-Harânî</w:t>
            </w:r>
          </w:p>
        </w:tc>
      </w:tr>
    </w:tbl>
    <w:p w:rsidR="007C1028" w:rsidRDefault="007C1028" w:rsidP="007C1028">
      <w:pPr>
        <w:jc w:val="right"/>
        <w:rPr>
          <w:color w:val="7F7F7F"/>
          <w:sz w:val="32"/>
          <w:szCs w:val="32"/>
        </w:rPr>
      </w:pPr>
    </w:p>
    <w:p w:rsidR="007C1028" w:rsidRPr="009A570F" w:rsidRDefault="007C1028" w:rsidP="007C1028">
      <w:r w:rsidRPr="00AA23C9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61312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68"/>
                  </w:tblGrid>
                  <w:tr w:rsidR="007C1028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7C1028" w:rsidRPr="00344919" w:rsidRDefault="007C1028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7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7C1028" w:rsidRPr="007C1028" w:rsidRDefault="007C1028" w:rsidP="00A25F22">
                        <w:pPr>
                          <w:pStyle w:val="Sansinterligne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7C1028">
                          <w:rPr>
                            <w:rStyle w:val="lev"/>
                            <w:rFonts w:asciiTheme="majorBidi" w:eastAsiaTheme="majorEastAsia" w:hAnsiTheme="majorBidi" w:cstheme="majorBidi"/>
                            <w:color w:val="FFFFFF" w:themeColor="background1"/>
                            <w:sz w:val="44"/>
                            <w:szCs w:val="44"/>
                          </w:rPr>
                          <w:t>Manière de s'adresser aux gens le Jour de la Résurrection ainsi que la langue parlée ?</w:t>
                        </w:r>
                      </w:p>
                    </w:tc>
                  </w:tr>
                </w:tbl>
                <w:p w:rsidR="007C1028" w:rsidRPr="00344919" w:rsidRDefault="007C1028" w:rsidP="007C1028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>
        <w:br w:type="page"/>
      </w:r>
    </w:p>
    <w:p w:rsidR="00704369" w:rsidRDefault="007C1028" w:rsidP="007C1028">
      <w:pPr>
        <w:jc w:val="center"/>
      </w:pPr>
      <w:r>
        <w:rPr>
          <w:noProof/>
        </w:rPr>
        <w:lastRenderedPageBreak/>
        <w:drawing>
          <wp:inline distT="0" distB="0" distL="0" distR="0">
            <wp:extent cx="1524000" cy="1209675"/>
            <wp:effectExtent l="19050" t="0" r="0" b="0"/>
            <wp:docPr id="1" name="Image 0" descr="bismilla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lah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b/>
          <w:bCs/>
          <w:sz w:val="32"/>
          <w:szCs w:val="32"/>
        </w:rPr>
      </w:pPr>
      <w:r w:rsidRPr="0055619E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b/>
          <w:bCs/>
          <w:sz w:val="32"/>
          <w:szCs w:val="32"/>
          <w:u w:val="single"/>
        </w:rPr>
        <w:t>Question</w:t>
      </w:r>
      <w:r w:rsidRPr="002805A9">
        <w:rPr>
          <w:rFonts w:asciiTheme="majorBidi" w:hAnsiTheme="majorBidi" w:cstheme="majorBidi"/>
          <w:b/>
          <w:bCs/>
          <w:sz w:val="32"/>
          <w:szCs w:val="32"/>
        </w:rPr>
        <w:t xml:space="preserve"> :</w:t>
      </w:r>
      <w:r w:rsidRPr="002805A9">
        <w:rPr>
          <w:rFonts w:asciiTheme="majorBidi" w:hAnsiTheme="majorBidi" w:cstheme="majorBidi"/>
          <w:b/>
          <w:bCs/>
          <w:sz w:val="32"/>
          <w:szCs w:val="32"/>
        </w:rPr>
        <w:br/>
      </w: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 xml:space="preserve">De quelle manière s’adressera-t-on le « Jour de la Résurrection » aux gens ? </w:t>
      </w: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>Est-ce qu’</w:t>
      </w:r>
      <w:proofErr w:type="spellStart"/>
      <w:r w:rsidRPr="002805A9">
        <w:rPr>
          <w:rFonts w:asciiTheme="majorBidi" w:hAnsiTheme="majorBidi" w:cstheme="majorBidi"/>
          <w:szCs w:val="24"/>
        </w:rPr>
        <w:t>Allâh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</w:t>
      </w:r>
      <w:r w:rsidRPr="002805A9">
        <w:t>-</w:t>
      </w:r>
      <w:proofErr w:type="spellStart"/>
      <w:r w:rsidRPr="002805A9">
        <w:rPr>
          <w:i/>
          <w:iCs/>
        </w:rPr>
        <w:t>ta‘âlâ</w:t>
      </w:r>
      <w:proofErr w:type="spellEnd"/>
      <w:r w:rsidRPr="002805A9">
        <w:t>-</w:t>
      </w:r>
      <w:r w:rsidRPr="002805A9">
        <w:rPr>
          <w:rFonts w:asciiTheme="majorBidi" w:hAnsiTheme="majorBidi" w:cstheme="majorBidi"/>
          <w:szCs w:val="24"/>
        </w:rPr>
        <w:t xml:space="preserve"> s’adressera aux gens en langue Arabe ? </w:t>
      </w: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 xml:space="preserve">Est-il authentique que la langue des Gens du Feu sera « </w:t>
      </w:r>
      <w:r w:rsidRPr="002805A9">
        <w:rPr>
          <w:rFonts w:asciiTheme="majorBidi" w:hAnsiTheme="majorBidi" w:cstheme="majorBidi"/>
          <w:i/>
          <w:iCs/>
          <w:szCs w:val="24"/>
        </w:rPr>
        <w:t>al-</w:t>
      </w:r>
      <w:proofErr w:type="spellStart"/>
      <w:r w:rsidRPr="002805A9">
        <w:rPr>
          <w:rFonts w:asciiTheme="majorBidi" w:hAnsiTheme="majorBidi" w:cstheme="majorBidi"/>
          <w:i/>
          <w:iCs/>
          <w:szCs w:val="24"/>
        </w:rPr>
        <w:t>Fârassiyyâh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» (Le Persan) et que la langue des gens du Paradis sera l’arabe ?</w:t>
      </w:r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b/>
          <w:bCs/>
          <w:sz w:val="32"/>
          <w:szCs w:val="32"/>
          <w:u w:val="single"/>
        </w:rPr>
        <w:t>Réponse</w:t>
      </w:r>
      <w:r w:rsidRPr="002805A9">
        <w:rPr>
          <w:rFonts w:asciiTheme="majorBidi" w:hAnsiTheme="majorBidi" w:cstheme="majorBidi"/>
          <w:sz w:val="32"/>
          <w:szCs w:val="32"/>
        </w:rPr>
        <w:t xml:space="preserve"> :</w:t>
      </w:r>
      <w:r w:rsidRPr="002805A9">
        <w:rPr>
          <w:rFonts w:asciiTheme="majorBidi" w:hAnsiTheme="majorBidi" w:cstheme="majorBidi"/>
          <w:szCs w:val="24"/>
        </w:rPr>
        <w:br/>
      </w:r>
    </w:p>
    <w:p w:rsidR="007C1028" w:rsidRPr="002805A9" w:rsidRDefault="007C1028" w:rsidP="002805A9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 xml:space="preserve">Louange à </w:t>
      </w:r>
      <w:proofErr w:type="spellStart"/>
      <w:r w:rsidRPr="002805A9">
        <w:rPr>
          <w:rFonts w:asciiTheme="majorBidi" w:hAnsiTheme="majorBidi" w:cstheme="majorBidi"/>
          <w:szCs w:val="24"/>
        </w:rPr>
        <w:t>Allâh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Seigneur des Mondes</w:t>
      </w:r>
      <w:proofErr w:type="gramStart"/>
      <w:r w:rsidRPr="002805A9">
        <w:rPr>
          <w:rFonts w:asciiTheme="majorBidi" w:hAnsiTheme="majorBidi" w:cstheme="majorBidi"/>
          <w:szCs w:val="24"/>
        </w:rPr>
        <w:t>,</w:t>
      </w:r>
      <w:proofErr w:type="gramEnd"/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szCs w:val="24"/>
        </w:rPr>
        <w:br/>
        <w:t>Nous ne savons pas en fait quelle langue les gens parleront [ce jour-là]. Aussi, [nous ne savons pas] en quelle langue ils entendront le discours d’</w:t>
      </w:r>
      <w:proofErr w:type="spellStart"/>
      <w:r w:rsidRPr="002805A9">
        <w:rPr>
          <w:rFonts w:asciiTheme="majorBidi" w:hAnsiTheme="majorBidi" w:cstheme="majorBidi"/>
          <w:szCs w:val="24"/>
        </w:rPr>
        <w:t>Allâh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. </w:t>
      </w:r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szCs w:val="24"/>
        </w:rPr>
        <w:br/>
        <w:t xml:space="preserve">Certes </w:t>
      </w:r>
      <w:proofErr w:type="spellStart"/>
      <w:r w:rsidRPr="002805A9">
        <w:rPr>
          <w:rFonts w:asciiTheme="majorBidi" w:hAnsiTheme="majorBidi" w:cstheme="majorBidi"/>
          <w:szCs w:val="24"/>
        </w:rPr>
        <w:t>Allâh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</w:t>
      </w:r>
      <w:r w:rsidRPr="002805A9">
        <w:t>-</w:t>
      </w:r>
      <w:proofErr w:type="spellStart"/>
      <w:r w:rsidRPr="002805A9">
        <w:rPr>
          <w:i/>
          <w:iCs/>
        </w:rPr>
        <w:t>ta‘âlâ</w:t>
      </w:r>
      <w:proofErr w:type="spellEnd"/>
      <w:r w:rsidRPr="002805A9">
        <w:t>-</w:t>
      </w:r>
      <w:r w:rsidRPr="002805A9">
        <w:rPr>
          <w:rFonts w:asciiTheme="majorBidi" w:hAnsiTheme="majorBidi" w:cstheme="majorBidi"/>
          <w:szCs w:val="24"/>
        </w:rPr>
        <w:t xml:space="preserve"> ne nous a informé en rien sur le sujet, ni même Son Messager</w:t>
      </w:r>
      <w:r w:rsidR="002805A9">
        <w:rPr>
          <w:rFonts w:asciiTheme="majorBidi" w:hAnsiTheme="majorBidi" w:cstheme="majorBidi"/>
          <w:szCs w:val="24"/>
        </w:rPr>
        <w:t xml:space="preserve"> </w:t>
      </w:r>
      <w:r w:rsidR="002805A9">
        <w:rPr>
          <w:rFonts w:asciiTheme="majorBidi" w:hAnsiTheme="majorBidi" w:cstheme="majorBidi"/>
        </w:rPr>
        <w:t>-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2805A9">
        <w:rPr>
          <w:rFonts w:asciiTheme="majorBidi" w:hAnsiTheme="majorBidi" w:cstheme="majorBidi"/>
        </w:rPr>
        <w:t>-</w:t>
      </w:r>
      <w:r w:rsidRPr="002805A9">
        <w:rPr>
          <w:rFonts w:asciiTheme="majorBidi" w:hAnsiTheme="majorBidi" w:cstheme="majorBidi"/>
          <w:szCs w:val="24"/>
        </w:rPr>
        <w:t xml:space="preserve">. Et il n’est pas authentique [de croire] que « </w:t>
      </w:r>
      <w:r w:rsidRPr="002805A9">
        <w:rPr>
          <w:rFonts w:asciiTheme="majorBidi" w:hAnsiTheme="majorBidi" w:cstheme="majorBidi"/>
          <w:i/>
          <w:iCs/>
          <w:szCs w:val="24"/>
        </w:rPr>
        <w:t>al-</w:t>
      </w:r>
      <w:proofErr w:type="spellStart"/>
      <w:r w:rsidRPr="002805A9">
        <w:rPr>
          <w:rFonts w:asciiTheme="majorBidi" w:hAnsiTheme="majorBidi" w:cstheme="majorBidi"/>
          <w:i/>
          <w:iCs/>
          <w:szCs w:val="24"/>
        </w:rPr>
        <w:t>Fârassiyyâh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» sera la langue des habitants de l’enfer, comme [il n’est pas authentique de croire] que l’arabe sera la langue des gens de la félicité éternelle [</w:t>
      </w:r>
      <w:proofErr w:type="spellStart"/>
      <w:r w:rsidRPr="002805A9">
        <w:rPr>
          <w:rFonts w:asciiTheme="majorBidi" w:hAnsiTheme="majorBidi" w:cstheme="majorBidi"/>
          <w:i/>
          <w:iCs/>
          <w:szCs w:val="24"/>
        </w:rPr>
        <w:t>Na’îm</w:t>
      </w:r>
      <w:proofErr w:type="spellEnd"/>
      <w:r w:rsidRPr="002805A9">
        <w:rPr>
          <w:rFonts w:asciiTheme="majorBidi" w:hAnsiTheme="majorBidi" w:cstheme="majorBidi"/>
          <w:i/>
          <w:iCs/>
          <w:szCs w:val="24"/>
        </w:rPr>
        <w:t xml:space="preserve"> al-</w:t>
      </w:r>
      <w:proofErr w:type="spellStart"/>
      <w:r w:rsidRPr="002805A9">
        <w:rPr>
          <w:rFonts w:asciiTheme="majorBidi" w:hAnsiTheme="majorBidi" w:cstheme="majorBidi"/>
          <w:i/>
          <w:iCs/>
          <w:szCs w:val="24"/>
        </w:rPr>
        <w:t>Abadî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]. Et nous ne connaissons pas de discussion [débat] sur le sujet entre les Compagnons </w:t>
      </w:r>
      <w:r w:rsidR="002805A9">
        <w:t>-</w:t>
      </w:r>
      <w:r w:rsidR="002805A9" w:rsidRPr="00B745A3">
        <w:rPr>
          <w:i/>
          <w:iCs/>
        </w:rPr>
        <w:t>qu’</w:t>
      </w:r>
      <w:proofErr w:type="spellStart"/>
      <w:r w:rsidR="002805A9" w:rsidRPr="00B745A3">
        <w:rPr>
          <w:i/>
          <w:iCs/>
        </w:rPr>
        <w:t>All</w:t>
      </w:r>
      <w:r w:rsidR="002805A9">
        <w:rPr>
          <w:i/>
          <w:iCs/>
        </w:rPr>
        <w:t>â</w:t>
      </w:r>
      <w:r w:rsidR="002805A9" w:rsidRPr="00B745A3">
        <w:rPr>
          <w:i/>
          <w:iCs/>
        </w:rPr>
        <w:t>h</w:t>
      </w:r>
      <w:proofErr w:type="spellEnd"/>
      <w:r w:rsidR="002805A9" w:rsidRPr="00B745A3">
        <w:rPr>
          <w:i/>
          <w:iCs/>
        </w:rPr>
        <w:t xml:space="preserve"> l</w:t>
      </w:r>
      <w:r w:rsidR="002805A9">
        <w:rPr>
          <w:i/>
          <w:iCs/>
        </w:rPr>
        <w:t xml:space="preserve">es </w:t>
      </w:r>
      <w:r w:rsidR="002805A9" w:rsidRPr="00B745A3">
        <w:rPr>
          <w:i/>
          <w:iCs/>
        </w:rPr>
        <w:t>agrée</w:t>
      </w:r>
      <w:r w:rsidR="002805A9">
        <w:t>-</w:t>
      </w:r>
      <w:r w:rsidRPr="002805A9">
        <w:rPr>
          <w:rFonts w:asciiTheme="majorBidi" w:hAnsiTheme="majorBidi" w:cstheme="majorBidi"/>
          <w:szCs w:val="24"/>
        </w:rPr>
        <w:t xml:space="preserve">. </w:t>
      </w: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>Bien au contraire, ils se sont suffit de cela [de la connaissance qu’ils avaient sur le sujet]. Car certes la parole semblable à cela n’était que celle basée sur la curiosité, et non pas sur ce qu’</w:t>
      </w:r>
      <w:proofErr w:type="spellStart"/>
      <w:r w:rsidRPr="002805A9">
        <w:rPr>
          <w:rFonts w:asciiTheme="majorBidi" w:hAnsiTheme="majorBidi" w:cstheme="majorBidi"/>
          <w:szCs w:val="24"/>
        </w:rPr>
        <w:t>Allâh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a dit à son Prophète</w:t>
      </w:r>
      <w:r w:rsidR="002805A9">
        <w:rPr>
          <w:rFonts w:asciiTheme="majorBidi" w:hAnsiTheme="majorBidi" w:cstheme="majorBidi"/>
          <w:szCs w:val="24"/>
        </w:rPr>
        <w:t xml:space="preserve"> </w:t>
      </w:r>
      <w:r w:rsidR="002805A9">
        <w:rPr>
          <w:rFonts w:asciiTheme="majorBidi" w:hAnsiTheme="majorBidi" w:cstheme="majorBidi"/>
        </w:rPr>
        <w:t>-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2805A9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805A9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2805A9">
        <w:rPr>
          <w:rFonts w:asciiTheme="majorBidi" w:hAnsiTheme="majorBidi" w:cstheme="majorBidi"/>
        </w:rPr>
        <w:t>-</w:t>
      </w:r>
      <w:r w:rsidRPr="002805A9">
        <w:rPr>
          <w:rFonts w:asciiTheme="majorBidi" w:hAnsiTheme="majorBidi" w:cstheme="majorBidi"/>
          <w:szCs w:val="24"/>
        </w:rPr>
        <w:t>. Néanmoins, cela a été inventé par ceux qui sont venu après le califat [des dernières générations].</w:t>
      </w:r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szCs w:val="24"/>
        </w:rPr>
        <w:br/>
        <w:t xml:space="preserve">Certaines personnes ont dit : « </w:t>
      </w:r>
      <w:r w:rsidRPr="002805A9">
        <w:rPr>
          <w:rFonts w:asciiTheme="majorBidi" w:hAnsiTheme="majorBidi" w:cstheme="majorBidi"/>
          <w:b/>
          <w:bCs/>
          <w:szCs w:val="24"/>
        </w:rPr>
        <w:t>Ils se parleront en arabe.</w:t>
      </w:r>
      <w:r w:rsidRPr="002805A9">
        <w:rPr>
          <w:rFonts w:asciiTheme="majorBidi" w:hAnsiTheme="majorBidi" w:cstheme="majorBidi"/>
          <w:szCs w:val="24"/>
        </w:rPr>
        <w:t xml:space="preserve"> »</w:t>
      </w:r>
      <w:r w:rsidRPr="002805A9">
        <w:rPr>
          <w:rFonts w:asciiTheme="majorBidi" w:hAnsiTheme="majorBidi" w:cstheme="majorBidi"/>
          <w:szCs w:val="24"/>
        </w:rPr>
        <w:br/>
      </w:r>
    </w:p>
    <w:p w:rsidR="002805A9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 xml:space="preserve">Et d’autres ont dit : « </w:t>
      </w:r>
      <w:r w:rsidRPr="002805A9">
        <w:rPr>
          <w:rFonts w:asciiTheme="majorBidi" w:hAnsiTheme="majorBidi" w:cstheme="majorBidi"/>
          <w:b/>
          <w:bCs/>
          <w:szCs w:val="24"/>
        </w:rPr>
        <w:t xml:space="preserve">Sauf les gens du Feu, qui répondront en « </w:t>
      </w:r>
      <w:proofErr w:type="spellStart"/>
      <w:r w:rsidRPr="002805A9">
        <w:rPr>
          <w:rFonts w:asciiTheme="majorBidi" w:hAnsiTheme="majorBidi" w:cstheme="majorBidi"/>
          <w:b/>
          <w:bCs/>
          <w:i/>
          <w:iCs/>
          <w:szCs w:val="24"/>
        </w:rPr>
        <w:t>Fârassiyyâh</w:t>
      </w:r>
      <w:proofErr w:type="spellEnd"/>
      <w:r w:rsidRPr="002805A9">
        <w:rPr>
          <w:rFonts w:asciiTheme="majorBidi" w:hAnsiTheme="majorBidi" w:cstheme="majorBidi"/>
          <w:b/>
          <w:bCs/>
          <w:szCs w:val="24"/>
        </w:rPr>
        <w:t xml:space="preserve"> » qui est leur langue dans le feu.</w:t>
      </w:r>
      <w:r w:rsidRPr="002805A9">
        <w:rPr>
          <w:rFonts w:asciiTheme="majorBidi" w:hAnsiTheme="majorBidi" w:cstheme="majorBidi"/>
          <w:szCs w:val="24"/>
        </w:rPr>
        <w:t xml:space="preserve"> »</w:t>
      </w:r>
    </w:p>
    <w:p w:rsidR="002805A9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br/>
        <w:t xml:space="preserve">Et d’autres encore ont dit : « </w:t>
      </w:r>
      <w:r w:rsidRPr="002805A9">
        <w:rPr>
          <w:rFonts w:asciiTheme="majorBidi" w:hAnsiTheme="majorBidi" w:cstheme="majorBidi"/>
          <w:b/>
          <w:bCs/>
          <w:szCs w:val="24"/>
        </w:rPr>
        <w:t xml:space="preserve">Ils converseront en « </w:t>
      </w:r>
      <w:proofErr w:type="spellStart"/>
      <w:r w:rsidRPr="002805A9">
        <w:rPr>
          <w:rFonts w:asciiTheme="majorBidi" w:hAnsiTheme="majorBidi" w:cstheme="majorBidi"/>
          <w:b/>
          <w:bCs/>
          <w:i/>
          <w:iCs/>
          <w:szCs w:val="24"/>
        </w:rPr>
        <w:t>Siriyyâniyyah</w:t>
      </w:r>
      <w:proofErr w:type="spellEnd"/>
      <w:r w:rsidRPr="002805A9">
        <w:rPr>
          <w:rFonts w:asciiTheme="majorBidi" w:hAnsiTheme="majorBidi" w:cstheme="majorBidi"/>
          <w:b/>
          <w:bCs/>
          <w:szCs w:val="24"/>
        </w:rPr>
        <w:t xml:space="preserve"> », car celle-ci est la langue de </w:t>
      </w:r>
      <w:proofErr w:type="spellStart"/>
      <w:r w:rsidRPr="002805A9">
        <w:rPr>
          <w:rFonts w:asciiTheme="majorBidi" w:hAnsiTheme="majorBidi" w:cstheme="majorBidi"/>
          <w:b/>
          <w:bCs/>
          <w:szCs w:val="24"/>
        </w:rPr>
        <w:t>Âdam</w:t>
      </w:r>
      <w:proofErr w:type="spellEnd"/>
      <w:r w:rsidRPr="002805A9">
        <w:rPr>
          <w:rFonts w:asciiTheme="majorBidi" w:hAnsiTheme="majorBidi" w:cstheme="majorBidi"/>
          <w:b/>
          <w:bCs/>
          <w:szCs w:val="24"/>
        </w:rPr>
        <w:t>, et c’est à partir de celle-là que se sont ramifiées [toutes les langues].</w:t>
      </w:r>
      <w:r w:rsidRPr="002805A9">
        <w:rPr>
          <w:rFonts w:asciiTheme="majorBidi" w:hAnsiTheme="majorBidi" w:cstheme="majorBidi"/>
          <w:szCs w:val="24"/>
        </w:rPr>
        <w:t xml:space="preserve"> » </w:t>
      </w:r>
    </w:p>
    <w:p w:rsidR="002805A9" w:rsidRPr="002805A9" w:rsidRDefault="002805A9" w:rsidP="007C1028">
      <w:pPr>
        <w:pStyle w:val="Sansinterligne"/>
        <w:rPr>
          <w:rFonts w:asciiTheme="majorBidi" w:hAnsiTheme="majorBidi" w:cstheme="majorBidi"/>
          <w:szCs w:val="24"/>
        </w:rPr>
      </w:pPr>
    </w:p>
    <w:p w:rsidR="007C1028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 xml:space="preserve">Et certains encore ont dit : « </w:t>
      </w:r>
      <w:r w:rsidRPr="002805A9">
        <w:rPr>
          <w:rFonts w:asciiTheme="majorBidi" w:hAnsiTheme="majorBidi" w:cstheme="majorBidi"/>
          <w:b/>
          <w:bCs/>
          <w:szCs w:val="24"/>
        </w:rPr>
        <w:t>Sauf les gens du Paradis, qui certes eux, parleront en arabe.</w:t>
      </w:r>
      <w:r w:rsidRPr="002805A9">
        <w:rPr>
          <w:rFonts w:asciiTheme="majorBidi" w:hAnsiTheme="majorBidi" w:cstheme="majorBidi"/>
          <w:szCs w:val="24"/>
        </w:rPr>
        <w:t xml:space="preserve"> »</w:t>
      </w:r>
      <w:r w:rsidRPr="002805A9">
        <w:rPr>
          <w:rFonts w:asciiTheme="majorBidi" w:hAnsiTheme="majorBidi" w:cstheme="majorBidi"/>
          <w:szCs w:val="24"/>
        </w:rPr>
        <w:br/>
      </w:r>
      <w:r w:rsidRPr="002805A9">
        <w:rPr>
          <w:rFonts w:asciiTheme="majorBidi" w:hAnsiTheme="majorBidi" w:cstheme="majorBidi"/>
          <w:szCs w:val="24"/>
        </w:rPr>
        <w:br/>
        <w:t xml:space="preserve">Toutes ces paroles ne représentent aucune preuve pour la personne [qui les possède], ni sur le chemin de l’intellect et ni sur celui des récits. Mais plutôt, elles sont des prétentions dépourvues de toutes preuves. </w:t>
      </w:r>
    </w:p>
    <w:p w:rsidR="002805A9" w:rsidRPr="002805A9" w:rsidRDefault="007C1028" w:rsidP="007C1028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lastRenderedPageBreak/>
        <w:br/>
      </w:r>
    </w:p>
    <w:p w:rsidR="002805A9" w:rsidRPr="002805A9" w:rsidRDefault="002805A9" w:rsidP="002805A9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szCs w:val="24"/>
        </w:rPr>
        <w:t xml:space="preserve">Et </w:t>
      </w:r>
      <w:proofErr w:type="spellStart"/>
      <w:r w:rsidRPr="002805A9">
        <w:rPr>
          <w:rFonts w:asciiTheme="majorBidi" w:hAnsiTheme="majorBidi" w:cstheme="majorBidi"/>
          <w:szCs w:val="24"/>
        </w:rPr>
        <w:t>Allâh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 est plus savant et plus Sage</w:t>
      </w:r>
      <w:r>
        <w:rPr>
          <w:rFonts w:asciiTheme="majorBidi" w:hAnsiTheme="majorBidi" w:cstheme="majorBidi"/>
          <w:szCs w:val="24"/>
        </w:rPr>
        <w:t xml:space="preserve"> [</w:t>
      </w:r>
      <w:r w:rsidRPr="002805A9">
        <w:rPr>
          <w:rFonts w:asciiTheme="majorBidi" w:hAnsiTheme="majorBidi" w:cstheme="majorBidi"/>
          <w:i/>
          <w:iCs/>
          <w:szCs w:val="24"/>
        </w:rPr>
        <w:t xml:space="preserve">Wa </w:t>
      </w:r>
      <w:proofErr w:type="spellStart"/>
      <w:r w:rsidRPr="002805A9">
        <w:rPr>
          <w:rFonts w:asciiTheme="majorBidi" w:hAnsiTheme="majorBidi" w:cstheme="majorBidi"/>
          <w:i/>
          <w:iCs/>
          <w:szCs w:val="24"/>
        </w:rPr>
        <w:t>Allâhu</w:t>
      </w:r>
      <w:proofErr w:type="spellEnd"/>
      <w:r w:rsidRPr="002805A9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7C1028" w:rsidRPr="002805A9">
        <w:rPr>
          <w:rFonts w:asciiTheme="majorBidi" w:hAnsiTheme="majorBidi" w:cstheme="majorBidi"/>
          <w:i/>
          <w:iCs/>
          <w:szCs w:val="24"/>
        </w:rPr>
        <w:t>A</w:t>
      </w:r>
      <w:r w:rsidRPr="002805A9">
        <w:rPr>
          <w:rFonts w:asciiTheme="majorBidi" w:hAnsiTheme="majorBidi" w:cstheme="majorBidi"/>
          <w:i/>
          <w:iCs/>
          <w:szCs w:val="24"/>
        </w:rPr>
        <w:t>‘</w:t>
      </w:r>
      <w:r w:rsidR="007C1028" w:rsidRPr="002805A9">
        <w:rPr>
          <w:rFonts w:asciiTheme="majorBidi" w:hAnsiTheme="majorBidi" w:cstheme="majorBidi"/>
          <w:i/>
          <w:iCs/>
          <w:szCs w:val="24"/>
        </w:rPr>
        <w:t>lâm</w:t>
      </w:r>
      <w:proofErr w:type="spellEnd"/>
      <w:r w:rsidR="007C1028" w:rsidRPr="002805A9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7C1028" w:rsidRPr="002805A9">
        <w:rPr>
          <w:rFonts w:asciiTheme="majorBidi" w:hAnsiTheme="majorBidi" w:cstheme="majorBidi"/>
          <w:i/>
          <w:iCs/>
          <w:szCs w:val="24"/>
        </w:rPr>
        <w:t>wa</w:t>
      </w:r>
      <w:proofErr w:type="spellEnd"/>
      <w:r w:rsidR="007C1028" w:rsidRPr="002805A9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7C1028" w:rsidRPr="002805A9">
        <w:rPr>
          <w:rFonts w:asciiTheme="majorBidi" w:hAnsiTheme="majorBidi" w:cstheme="majorBidi"/>
          <w:i/>
          <w:iCs/>
          <w:szCs w:val="24"/>
        </w:rPr>
        <w:t>Ahkâm</w:t>
      </w:r>
      <w:proofErr w:type="spellEnd"/>
      <w:r w:rsidRPr="002805A9">
        <w:rPr>
          <w:rFonts w:asciiTheme="majorBidi" w:hAnsiTheme="majorBidi" w:cstheme="majorBidi"/>
          <w:szCs w:val="24"/>
        </w:rPr>
        <w:t>]</w:t>
      </w:r>
      <w:r w:rsidR="007C1028" w:rsidRPr="002805A9">
        <w:rPr>
          <w:rFonts w:asciiTheme="majorBidi" w:hAnsiTheme="majorBidi" w:cstheme="majorBidi"/>
          <w:szCs w:val="24"/>
        </w:rPr>
        <w:t>.</w:t>
      </w:r>
      <w:r w:rsidR="007C1028" w:rsidRPr="002805A9">
        <w:rPr>
          <w:rFonts w:asciiTheme="majorBidi" w:hAnsiTheme="majorBidi" w:cstheme="majorBidi"/>
          <w:szCs w:val="24"/>
        </w:rPr>
        <w:br/>
      </w:r>
      <w:r w:rsidR="007C1028" w:rsidRPr="002805A9">
        <w:rPr>
          <w:rFonts w:asciiTheme="majorBidi" w:hAnsiTheme="majorBidi" w:cstheme="majorBidi"/>
          <w:szCs w:val="24"/>
        </w:rPr>
        <w:br/>
      </w:r>
    </w:p>
    <w:p w:rsidR="007C1028" w:rsidRPr="002805A9" w:rsidRDefault="002805A9" w:rsidP="002805A9">
      <w:pPr>
        <w:pStyle w:val="Sansinterligne"/>
        <w:rPr>
          <w:rFonts w:asciiTheme="majorBidi" w:hAnsiTheme="majorBidi" w:cstheme="majorBidi"/>
          <w:szCs w:val="24"/>
        </w:rPr>
      </w:pPr>
      <w:r w:rsidRPr="002805A9">
        <w:rPr>
          <w:rFonts w:asciiTheme="majorBidi" w:hAnsiTheme="majorBidi" w:cstheme="majorBidi"/>
          <w:b/>
          <w:bCs/>
          <w:szCs w:val="24"/>
          <w:u w:val="single"/>
        </w:rPr>
        <w:t>Source</w:t>
      </w:r>
      <w:r w:rsidRPr="002805A9">
        <w:rPr>
          <w:rFonts w:asciiTheme="majorBidi" w:hAnsiTheme="majorBidi" w:cstheme="majorBidi"/>
          <w:szCs w:val="24"/>
        </w:rPr>
        <w:t> :</w:t>
      </w:r>
      <w:r w:rsidR="007C1028" w:rsidRPr="002805A9">
        <w:rPr>
          <w:rFonts w:asciiTheme="majorBidi" w:hAnsiTheme="majorBidi" w:cstheme="majorBidi"/>
          <w:szCs w:val="24"/>
        </w:rPr>
        <w:t xml:space="preserve"> </w:t>
      </w:r>
      <w:proofErr w:type="spellStart"/>
      <w:r w:rsidR="007C1028" w:rsidRPr="002805A9">
        <w:rPr>
          <w:rFonts w:asciiTheme="majorBidi" w:hAnsiTheme="majorBidi" w:cstheme="majorBidi"/>
          <w:szCs w:val="24"/>
        </w:rPr>
        <w:t>Madjmu</w:t>
      </w:r>
      <w:proofErr w:type="spellEnd"/>
      <w:r w:rsidRPr="002805A9">
        <w:rPr>
          <w:rFonts w:asciiTheme="majorBidi" w:hAnsiTheme="majorBidi" w:cstheme="majorBidi"/>
          <w:szCs w:val="24"/>
        </w:rPr>
        <w:t>‘</w:t>
      </w:r>
      <w:r w:rsidR="007C1028" w:rsidRPr="002805A9">
        <w:rPr>
          <w:rFonts w:asciiTheme="majorBidi" w:hAnsiTheme="majorBidi" w:cstheme="majorBidi"/>
          <w:szCs w:val="24"/>
        </w:rPr>
        <w:t xml:space="preserve"> al-</w:t>
      </w:r>
      <w:proofErr w:type="spellStart"/>
      <w:r w:rsidR="007C1028" w:rsidRPr="002805A9">
        <w:rPr>
          <w:rFonts w:asciiTheme="majorBidi" w:hAnsiTheme="majorBidi" w:cstheme="majorBidi"/>
          <w:szCs w:val="24"/>
        </w:rPr>
        <w:t>Fatâwa</w:t>
      </w:r>
      <w:proofErr w:type="spellEnd"/>
      <w:r w:rsidRPr="002805A9">
        <w:rPr>
          <w:rFonts w:asciiTheme="majorBidi" w:hAnsiTheme="majorBidi" w:cstheme="majorBidi"/>
          <w:szCs w:val="24"/>
        </w:rPr>
        <w:t xml:space="preserve"> ; tome 4, page </w:t>
      </w:r>
      <w:r w:rsidR="007C1028" w:rsidRPr="002805A9">
        <w:rPr>
          <w:rFonts w:asciiTheme="majorBidi" w:hAnsiTheme="majorBidi" w:cstheme="majorBidi"/>
          <w:szCs w:val="24"/>
        </w:rPr>
        <w:t>185</w:t>
      </w:r>
      <w:r w:rsidRPr="002805A9">
        <w:rPr>
          <w:rFonts w:asciiTheme="majorBidi" w:hAnsiTheme="majorBidi" w:cstheme="majorBidi"/>
          <w:szCs w:val="24"/>
        </w:rPr>
        <w:t>.</w:t>
      </w:r>
    </w:p>
    <w:sectPr w:rsidR="007C1028" w:rsidRPr="002805A9" w:rsidSect="007C1028">
      <w:footerReference w:type="default" r:id="rId8"/>
      <w:pgSz w:w="11906" w:h="16838" w:code="9"/>
      <w:pgMar w:top="1417" w:right="1417" w:bottom="1417" w:left="141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1E" w:rsidRDefault="00AE0D1E" w:rsidP="007C1028">
      <w:r>
        <w:separator/>
      </w:r>
    </w:p>
  </w:endnote>
  <w:endnote w:type="continuationSeparator" w:id="0">
    <w:p w:rsidR="00AE0D1E" w:rsidRDefault="00AE0D1E" w:rsidP="007C1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641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7C1028" w:rsidRPr="00782B2F" w:rsidRDefault="007C1028" w:rsidP="007C1028">
        <w:pPr>
          <w:pStyle w:val="Pieddepage"/>
          <w:jc w:val="right"/>
          <w:rPr>
            <w:b/>
            <w:bCs/>
            <w:sz w:val="28"/>
            <w:szCs w:val="28"/>
          </w:rPr>
        </w:pPr>
        <w:r w:rsidRPr="00782B2F">
          <w:rPr>
            <w:b/>
            <w:bCs/>
            <w:sz w:val="28"/>
            <w:szCs w:val="28"/>
          </w:rPr>
          <w:fldChar w:fldCharType="begin"/>
        </w:r>
        <w:r w:rsidRPr="00782B2F">
          <w:rPr>
            <w:b/>
            <w:bCs/>
            <w:sz w:val="28"/>
            <w:szCs w:val="28"/>
          </w:rPr>
          <w:instrText xml:space="preserve"> PAGE   \* MERGEFORMAT </w:instrText>
        </w:r>
        <w:r w:rsidRPr="00782B2F">
          <w:rPr>
            <w:b/>
            <w:bCs/>
            <w:sz w:val="28"/>
            <w:szCs w:val="28"/>
          </w:rPr>
          <w:fldChar w:fldCharType="separate"/>
        </w:r>
        <w:r w:rsidR="002805A9">
          <w:rPr>
            <w:b/>
            <w:bCs/>
            <w:noProof/>
            <w:sz w:val="28"/>
            <w:szCs w:val="28"/>
          </w:rPr>
          <w:t>3</w:t>
        </w:r>
        <w:r w:rsidRPr="00782B2F">
          <w:rPr>
            <w:b/>
            <w:bCs/>
            <w:sz w:val="28"/>
            <w:szCs w:val="28"/>
          </w:rPr>
          <w:fldChar w:fldCharType="end"/>
        </w:r>
      </w:p>
    </w:sdtContent>
  </w:sdt>
  <w:sdt>
    <w:sdtPr>
      <w:rPr>
        <w:b/>
        <w:bCs/>
        <w:color w:val="404040" w:themeColor="text1" w:themeTint="BF"/>
        <w:sz w:val="26"/>
        <w:szCs w:val="26"/>
      </w:rPr>
      <w:id w:val="5122715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Theme="majorBidi" w:hAnsiTheme="majorBidi" w:cstheme="majorBidi"/>
            <w:b/>
            <w:bCs/>
            <w:color w:val="404040" w:themeColor="text1" w:themeTint="BF"/>
            <w:sz w:val="26"/>
            <w:szCs w:val="26"/>
          </w:rPr>
          <w:id w:val="66406374"/>
          <w:docPartObj>
            <w:docPartGallery w:val="Page Numbers (Bottom of Page)"/>
            <w:docPartUnique/>
          </w:docPartObj>
        </w:sdtPr>
        <w:sdtContent>
          <w:p w:rsidR="007C1028" w:rsidRPr="004E4A0B" w:rsidRDefault="007C1028" w:rsidP="007C1028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color w:val="404040" w:themeColor="text1" w:themeTint="BF"/>
                <w:sz w:val="26"/>
                <w:szCs w:val="26"/>
              </w:rPr>
            </w:pPr>
            <w:hyperlink r:id="rId1" w:history="1">
              <w:r w:rsidRPr="00776438">
                <w:rPr>
                  <w:rStyle w:val="Lienhypertexte"/>
                  <w:rFonts w:asciiTheme="majorBidi" w:eastAsiaTheme="majorEastAsia" w:hAnsiTheme="majorBidi"/>
                  <w:b/>
                  <w:bCs/>
                  <w:color w:val="404040" w:themeColor="text1" w:themeTint="BF"/>
                  <w:sz w:val="26"/>
                  <w:szCs w:val="26"/>
                </w:rPr>
                <w:t>http://bibliotheque-islamique-coran-sunna.over-blog.com/</w:t>
              </w:r>
            </w:hyperlink>
          </w:p>
        </w:sdtContent>
      </w:sdt>
    </w:sdtContent>
  </w:sdt>
  <w:p w:rsidR="007C1028" w:rsidRDefault="007C10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1E" w:rsidRDefault="00AE0D1E" w:rsidP="007C1028">
      <w:r>
        <w:separator/>
      </w:r>
    </w:p>
  </w:footnote>
  <w:footnote w:type="continuationSeparator" w:id="0">
    <w:p w:rsidR="00AE0D1E" w:rsidRDefault="00AE0D1E" w:rsidP="007C1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1028"/>
    <w:rsid w:val="00027B22"/>
    <w:rsid w:val="00044B3B"/>
    <w:rsid w:val="000C0174"/>
    <w:rsid w:val="001044C0"/>
    <w:rsid w:val="00107DEC"/>
    <w:rsid w:val="00152159"/>
    <w:rsid w:val="00155319"/>
    <w:rsid w:val="001C28F7"/>
    <w:rsid w:val="00244602"/>
    <w:rsid w:val="002805A9"/>
    <w:rsid w:val="002852C3"/>
    <w:rsid w:val="00300C8F"/>
    <w:rsid w:val="00376300"/>
    <w:rsid w:val="003C1DFB"/>
    <w:rsid w:val="003C21F7"/>
    <w:rsid w:val="003D3DCC"/>
    <w:rsid w:val="00401A2D"/>
    <w:rsid w:val="00444B5B"/>
    <w:rsid w:val="00463B17"/>
    <w:rsid w:val="004B08AB"/>
    <w:rsid w:val="00574E95"/>
    <w:rsid w:val="00576D00"/>
    <w:rsid w:val="00584A92"/>
    <w:rsid w:val="005C627F"/>
    <w:rsid w:val="005D4304"/>
    <w:rsid w:val="005F2C01"/>
    <w:rsid w:val="00610866"/>
    <w:rsid w:val="00616207"/>
    <w:rsid w:val="0067161B"/>
    <w:rsid w:val="00702CE1"/>
    <w:rsid w:val="00704369"/>
    <w:rsid w:val="00741238"/>
    <w:rsid w:val="00762C54"/>
    <w:rsid w:val="00764046"/>
    <w:rsid w:val="0079737A"/>
    <w:rsid w:val="007A55E2"/>
    <w:rsid w:val="007C1028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AE0D1E"/>
    <w:rsid w:val="00B1200F"/>
    <w:rsid w:val="00B51E11"/>
    <w:rsid w:val="00BB0B50"/>
    <w:rsid w:val="00BD7CC8"/>
    <w:rsid w:val="00C53C52"/>
    <w:rsid w:val="00C56B86"/>
    <w:rsid w:val="00CD4EBD"/>
    <w:rsid w:val="00D15EBD"/>
    <w:rsid w:val="00ED292B"/>
    <w:rsid w:val="00ED5324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2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1028"/>
    <w:rPr>
      <w:rFonts w:eastAsiaTheme="minorHAnsi" w:cstheme="minorBidi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1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0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C10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C10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C10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028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C1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2011-05-11T12:23:00Z</cp:lastPrinted>
  <dcterms:created xsi:type="dcterms:W3CDTF">2011-05-11T12:01:00Z</dcterms:created>
  <dcterms:modified xsi:type="dcterms:W3CDTF">2011-05-11T12:23:00Z</dcterms:modified>
</cp:coreProperties>
</file>