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19" w:rsidRDefault="00264619" w:rsidP="00264619">
      <w:pPr>
        <w:rPr>
          <w:rFonts w:asciiTheme="majorBidi" w:hAnsiTheme="majorBidi" w:cstheme="majorBidi"/>
          <w:sz w:val="24"/>
          <w:szCs w:val="24"/>
        </w:rPr>
      </w:pPr>
    </w:p>
    <w:p w:rsidR="00264619" w:rsidRDefault="00264619" w:rsidP="00264619">
      <w:pPr>
        <w:rPr>
          <w:rFonts w:asciiTheme="majorBidi" w:hAnsiTheme="majorBidi" w:cstheme="majorBidi"/>
          <w:sz w:val="24"/>
          <w:szCs w:val="24"/>
        </w:rPr>
      </w:pPr>
    </w:p>
    <w:p w:rsidR="00C27FF6" w:rsidRPr="00CE66F6" w:rsidRDefault="00C27FF6" w:rsidP="00C27FF6">
      <w:pPr>
        <w:rPr>
          <w:rFonts w:asciiTheme="majorBidi" w:hAnsiTheme="majorBidi" w:cstheme="majorBidi"/>
        </w:rPr>
      </w:pPr>
    </w:p>
    <w:p w:rsidR="00C27FF6" w:rsidRDefault="00C27FF6" w:rsidP="00C27FF6">
      <w:pPr>
        <w:jc w:val="right"/>
        <w:rPr>
          <w:color w:val="7F7F7F"/>
          <w:sz w:val="32"/>
          <w:szCs w:val="32"/>
        </w:rPr>
      </w:pPr>
      <w:r w:rsidRPr="00995F44">
        <w:rPr>
          <w:noProof/>
          <w:color w:val="C4BC96"/>
          <w:sz w:val="32"/>
          <w:szCs w:val="32"/>
        </w:rPr>
        <w:pict>
          <v:group id="_x0000_s1033" style="position:absolute;left:0;text-align:left;margin-left:0;margin-top:0;width:610.2pt;height:790.2pt;z-index:-251653120;mso-width-percent:1000;mso-height-percent:1000;mso-position-horizontal:center;mso-position-horizontal-relative:page;mso-position-vertical:center;mso-position-vertical-relative:page;mso-width-percent:1000;mso-height-percent:1000" coordsize="12240,15840" o:allowincell="f">
            <v:rect id="_x0000_s1034"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35"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C27FF6" w:rsidTr="00826E2D">
        <w:tc>
          <w:tcPr>
            <w:tcW w:w="9576" w:type="dxa"/>
          </w:tcPr>
          <w:p w:rsidR="00C27FF6" w:rsidRPr="005C5E4B" w:rsidRDefault="00C27FF6" w:rsidP="00826E2D">
            <w:pPr>
              <w:jc w:val="center"/>
              <w:rPr>
                <w:rFonts w:asciiTheme="majorBidi" w:hAnsiTheme="majorBidi" w:cstheme="majorBidi"/>
                <w:b/>
                <w:bCs/>
                <w:i/>
                <w:iCs/>
                <w:color w:val="FFFFFF" w:themeColor="background1"/>
                <w:sz w:val="28"/>
                <w:szCs w:val="28"/>
              </w:rPr>
            </w:pPr>
          </w:p>
          <w:p w:rsidR="00C27FF6" w:rsidRPr="005C5E4B" w:rsidRDefault="00C27FF6" w:rsidP="00826E2D">
            <w:pPr>
              <w:jc w:val="center"/>
              <w:rPr>
                <w:rFonts w:asciiTheme="majorBidi" w:hAnsiTheme="majorBidi" w:cstheme="majorBidi"/>
                <w:b/>
                <w:bCs/>
                <w:i/>
                <w:iCs/>
                <w:color w:val="FFFFFF" w:themeColor="background1"/>
                <w:sz w:val="28"/>
                <w:szCs w:val="28"/>
              </w:rPr>
            </w:pPr>
          </w:p>
          <w:p w:rsidR="00C27FF6" w:rsidRPr="005C5E4B" w:rsidRDefault="00C27FF6" w:rsidP="00826E2D">
            <w:pPr>
              <w:jc w:val="center"/>
              <w:rPr>
                <w:rFonts w:asciiTheme="majorBidi" w:hAnsiTheme="majorBidi" w:cstheme="majorBidi"/>
                <w:b/>
                <w:bCs/>
                <w:i/>
                <w:iCs/>
                <w:color w:val="FFFFFF" w:themeColor="background1"/>
                <w:sz w:val="28"/>
                <w:szCs w:val="28"/>
              </w:rPr>
            </w:pPr>
          </w:p>
          <w:p w:rsidR="00C27FF6" w:rsidRPr="005C5E4B" w:rsidRDefault="00C27FF6" w:rsidP="00826E2D">
            <w:pPr>
              <w:jc w:val="center"/>
              <w:rPr>
                <w:rFonts w:asciiTheme="majorBidi" w:hAnsiTheme="majorBidi" w:cstheme="majorBidi"/>
                <w:b/>
                <w:bCs/>
                <w:i/>
                <w:iCs/>
                <w:color w:val="FFFFFF" w:themeColor="background1"/>
                <w:sz w:val="28"/>
                <w:szCs w:val="28"/>
              </w:rPr>
            </w:pPr>
          </w:p>
          <w:p w:rsidR="00C27FF6" w:rsidRPr="005C5E4B" w:rsidRDefault="00C27FF6" w:rsidP="00826E2D">
            <w:pPr>
              <w:jc w:val="center"/>
              <w:rPr>
                <w:rFonts w:asciiTheme="majorBidi" w:hAnsiTheme="majorBidi" w:cstheme="majorBidi"/>
                <w:b/>
                <w:bCs/>
                <w:i/>
                <w:iCs/>
                <w:color w:val="FFFFFF" w:themeColor="background1"/>
                <w:sz w:val="28"/>
                <w:szCs w:val="28"/>
              </w:rPr>
            </w:pPr>
          </w:p>
          <w:p w:rsidR="00C27FF6" w:rsidRPr="005C5E4B" w:rsidRDefault="00C27FF6" w:rsidP="00826E2D">
            <w:pPr>
              <w:jc w:val="center"/>
              <w:rPr>
                <w:rFonts w:asciiTheme="majorBidi" w:hAnsiTheme="majorBidi" w:cstheme="majorBidi"/>
                <w:b/>
                <w:bCs/>
                <w:i/>
                <w:iCs/>
                <w:color w:val="FFFFFF" w:themeColor="background1"/>
                <w:sz w:val="28"/>
                <w:szCs w:val="28"/>
              </w:rPr>
            </w:pPr>
          </w:p>
          <w:p w:rsidR="00C27FF6" w:rsidRPr="005C5E4B" w:rsidRDefault="00C27FF6" w:rsidP="00826E2D">
            <w:pPr>
              <w:spacing w:before="100" w:beforeAutospacing="1"/>
              <w:jc w:val="center"/>
              <w:rPr>
                <w:rFonts w:ascii="Book Antiqua" w:hAnsi="Book Antiqua"/>
                <w:b/>
                <w:bCs/>
                <w:i/>
                <w:iCs/>
                <w:color w:val="FFFFFF" w:themeColor="background1"/>
                <w:sz w:val="28"/>
                <w:szCs w:val="28"/>
              </w:rPr>
            </w:pPr>
          </w:p>
          <w:p w:rsidR="00C27FF6" w:rsidRPr="00E62CCE" w:rsidRDefault="00C27FF6" w:rsidP="00826E2D">
            <w:pPr>
              <w:spacing w:before="100" w:beforeAutospacing="1"/>
              <w:jc w:val="center"/>
              <w:rPr>
                <w:i/>
                <w:iCs/>
                <w:color w:val="FFFFFF" w:themeColor="background1"/>
                <w:sz w:val="36"/>
                <w:szCs w:val="36"/>
              </w:rPr>
            </w:pPr>
            <w:r w:rsidRPr="00E62CCE">
              <w:rPr>
                <w:rFonts w:ascii="Book Antiqua" w:hAnsi="Book Antiqua"/>
                <w:b/>
                <w:bCs/>
                <w:i/>
                <w:iCs/>
                <w:color w:val="FFFFFF" w:themeColor="background1"/>
                <w:sz w:val="36"/>
                <w:szCs w:val="36"/>
              </w:rPr>
              <w:t>Par l’imam Châtibî</w:t>
            </w:r>
          </w:p>
        </w:tc>
      </w:tr>
    </w:tbl>
    <w:p w:rsidR="00C27FF6" w:rsidRDefault="00C27FF6" w:rsidP="00C27FF6">
      <w:pPr>
        <w:jc w:val="right"/>
        <w:rPr>
          <w:color w:val="7F7F7F"/>
          <w:sz w:val="32"/>
          <w:szCs w:val="32"/>
        </w:rPr>
      </w:pPr>
    </w:p>
    <w:p w:rsidR="00C27FF6" w:rsidRPr="009A570F" w:rsidRDefault="00C27FF6" w:rsidP="00C27FF6">
      <w:r w:rsidRPr="00995F44">
        <w:rPr>
          <w:noProof/>
          <w:color w:val="C4BC96"/>
          <w:sz w:val="32"/>
          <w:szCs w:val="32"/>
        </w:rPr>
        <w:pict>
          <v:rect id="_x0000_s1036" style="position:absolute;margin-left:0;margin-top:0;width:535.65pt;height:76.6pt;z-index:251664384;mso-width-percent:900;mso-position-horizontal:center;mso-position-horizontal-relative:page;mso-position-vertical:center;mso-position-vertical-relative:page;mso-width-percent:900" o:allowincell="f" fillcolor="#a5a5a5" stroked="f">
            <v:fill opacity="58982f"/>
            <v:textbox style="mso-next-textbox:#_x0000_s1036" inset="18pt,0,18pt,0">
              <w:txbxContent>
                <w:tbl>
                  <w:tblPr>
                    <w:tblW w:w="5000" w:type="pct"/>
                    <w:tblCellMar>
                      <w:left w:w="360" w:type="dxa"/>
                      <w:right w:w="360" w:type="dxa"/>
                    </w:tblCellMar>
                    <w:tblLook w:val="04A0"/>
                  </w:tblPr>
                  <w:tblGrid>
                    <w:gridCol w:w="2760"/>
                    <w:gridCol w:w="7969"/>
                  </w:tblGrid>
                  <w:tr w:rsidR="00C27FF6" w:rsidRPr="00344919" w:rsidTr="00855F53">
                    <w:trPr>
                      <w:trHeight w:val="1080"/>
                    </w:trPr>
                    <w:tc>
                      <w:tcPr>
                        <w:tcW w:w="1000" w:type="pct"/>
                        <w:shd w:val="clear" w:color="auto" w:fill="000000"/>
                        <w:vAlign w:val="center"/>
                      </w:tcPr>
                      <w:p w:rsidR="00C27FF6" w:rsidRPr="00344919" w:rsidRDefault="00C27FF6" w:rsidP="00CB7712">
                        <w:pPr>
                          <w:jc w:val="center"/>
                          <w:rPr>
                            <w:smallCaps/>
                            <w:sz w:val="48"/>
                            <w:szCs w:val="48"/>
                          </w:rPr>
                        </w:pPr>
                        <w:r w:rsidRPr="00344919">
                          <w:rPr>
                            <w:smallCaps/>
                            <w:noProof/>
                            <w:sz w:val="48"/>
                            <w:szCs w:val="48"/>
                            <w:lang w:eastAsia="fr-FR"/>
                          </w:rPr>
                          <w:drawing>
                            <wp:inline distT="0" distB="0" distL="0" distR="0">
                              <wp:extent cx="1275080" cy="958215"/>
                              <wp:effectExtent l="19050" t="0" r="1270" b="0"/>
                              <wp:docPr id="2"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8"/>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C27FF6" w:rsidRPr="00E62CCE" w:rsidRDefault="00C27FF6" w:rsidP="00344919">
                        <w:pPr>
                          <w:widowControl w:val="0"/>
                          <w:adjustRightInd w:val="0"/>
                          <w:spacing w:after="100"/>
                          <w:rPr>
                            <w:rFonts w:asciiTheme="majorBidi" w:hAnsiTheme="majorBidi" w:cstheme="majorBidi"/>
                            <w:b/>
                            <w:bCs/>
                            <w:color w:val="FFFFFF" w:themeColor="background1"/>
                            <w:sz w:val="56"/>
                            <w:szCs w:val="56"/>
                          </w:rPr>
                        </w:pPr>
                        <w:r w:rsidRPr="00E62CCE">
                          <w:rPr>
                            <w:rFonts w:ascii="Times New Roman" w:eastAsia="Times New Roman" w:hAnsi="Times New Roman" w:cs="Times New Roman"/>
                            <w:b/>
                            <w:bCs/>
                            <w:color w:val="FFFFFF" w:themeColor="background1"/>
                            <w:sz w:val="56"/>
                            <w:szCs w:val="56"/>
                            <w:lang w:eastAsia="fr-FR"/>
                          </w:rPr>
                          <w:t>Le Retour à la Sounnah</w:t>
                        </w:r>
                        <w:r w:rsidRPr="00E62CCE">
                          <w:rPr>
                            <w:rFonts w:asciiTheme="majorBidi" w:hAnsiTheme="majorBidi" w:cstheme="majorBidi"/>
                            <w:b/>
                            <w:bCs/>
                            <w:color w:val="FFFFFF" w:themeColor="background1"/>
                            <w:sz w:val="56"/>
                            <w:szCs w:val="56"/>
                          </w:rPr>
                          <w:t xml:space="preserve"> </w:t>
                        </w:r>
                      </w:p>
                    </w:tc>
                  </w:tr>
                </w:tbl>
                <w:p w:rsidR="00C27FF6" w:rsidRPr="00344919" w:rsidRDefault="00C27FF6" w:rsidP="00C27FF6">
                  <w:pPr>
                    <w:pStyle w:val="Sansinterligne"/>
                    <w:spacing w:line="14" w:lineRule="exact"/>
                    <w:rPr>
                      <w:sz w:val="48"/>
                      <w:szCs w:val="48"/>
                    </w:rPr>
                  </w:pPr>
                </w:p>
              </w:txbxContent>
            </v:textbox>
            <w10:wrap anchorx="page" anchory="page"/>
          </v:rect>
        </w:pict>
      </w:r>
      <w:r>
        <w:br w:type="page"/>
      </w:r>
    </w:p>
    <w:p w:rsidR="00C27FF6" w:rsidRDefault="00C27FF6" w:rsidP="00C27FF6">
      <w:pPr>
        <w:pStyle w:val="Sansinterligne"/>
        <w:jc w:val="center"/>
        <w:rPr>
          <w:rFonts w:asciiTheme="majorBidi" w:hAnsiTheme="majorBidi" w:cstheme="majorBidi"/>
          <w:szCs w:val="24"/>
          <w:lang w:eastAsia="fr-FR"/>
        </w:rPr>
      </w:pPr>
      <w:r>
        <w:rPr>
          <w:rFonts w:asciiTheme="majorBidi" w:hAnsiTheme="majorBidi" w:cstheme="majorBidi"/>
          <w:noProof/>
          <w:szCs w:val="24"/>
          <w:lang w:eastAsia="fr-FR"/>
        </w:rPr>
        <w:lastRenderedPageBreak/>
        <w:drawing>
          <wp:inline distT="0" distB="0" distL="0" distR="0">
            <wp:extent cx="2047875" cy="1438275"/>
            <wp:effectExtent l="19050" t="0" r="9525" b="0"/>
            <wp:docPr id="4" name="Image 0" descr="bismill-La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3.jpg"/>
                    <pic:cNvPicPr/>
                  </pic:nvPicPr>
                  <pic:blipFill>
                    <a:blip r:embed="rId9" cstate="print"/>
                    <a:stretch>
                      <a:fillRect/>
                    </a:stretch>
                  </pic:blipFill>
                  <pic:spPr>
                    <a:xfrm>
                      <a:off x="0" y="0"/>
                      <a:ext cx="2047875" cy="1438275"/>
                    </a:xfrm>
                    <a:prstGeom prst="rect">
                      <a:avLst/>
                    </a:prstGeom>
                  </pic:spPr>
                </pic:pic>
              </a:graphicData>
            </a:graphic>
          </wp:inline>
        </w:drawing>
      </w:r>
    </w:p>
    <w:p w:rsidR="00C27FF6" w:rsidRPr="00526E5B"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En partant de cette base, on peut construire dessus plusieurs règles, et parmi elles :</w:t>
      </w:r>
    </w:p>
    <w:p w:rsidR="00C27FF6" w:rsidRDefault="00C27FF6" w:rsidP="00C27FF6">
      <w:pPr>
        <w:pStyle w:val="Sansinterligne"/>
        <w:rPr>
          <w:rFonts w:asciiTheme="majorBidi" w:hAnsiTheme="majorBidi" w:cstheme="majorBidi"/>
          <w:b/>
          <w:bCs/>
          <w:szCs w:val="24"/>
          <w:u w:val="single"/>
          <w:lang w:eastAsia="fr-FR"/>
        </w:rPr>
      </w:pPr>
      <w:r w:rsidRPr="00526E5B">
        <w:rPr>
          <w:rFonts w:asciiTheme="majorBidi" w:hAnsiTheme="majorBidi" w:cstheme="majorBidi"/>
          <w:b/>
          <w:bCs/>
          <w:szCs w:val="24"/>
          <w:u w:val="single"/>
          <w:lang w:eastAsia="fr-FR"/>
        </w:rPr>
        <w:t xml:space="preserve">Lorsque deux </w:t>
      </w:r>
      <w:proofErr w:type="spellStart"/>
      <w:r>
        <w:rPr>
          <w:rFonts w:asciiTheme="majorBidi" w:hAnsiTheme="majorBidi" w:cstheme="majorBidi"/>
          <w:b/>
          <w:bCs/>
          <w:szCs w:val="24"/>
          <w:u w:val="single"/>
          <w:lang w:eastAsia="fr-FR"/>
        </w:rPr>
        <w:t>M</w:t>
      </w:r>
      <w:r w:rsidRPr="00526E5B">
        <w:rPr>
          <w:rFonts w:asciiTheme="majorBidi" w:hAnsiTheme="majorBidi" w:cstheme="majorBidi"/>
          <w:b/>
          <w:bCs/>
          <w:szCs w:val="24"/>
          <w:u w:val="single"/>
          <w:lang w:eastAsia="fr-FR"/>
        </w:rPr>
        <w:t>oujtahids</w:t>
      </w:r>
      <w:proofErr w:type="spellEnd"/>
      <w:r w:rsidRPr="00526E5B">
        <w:rPr>
          <w:rFonts w:asciiTheme="majorBidi" w:hAnsiTheme="majorBidi" w:cstheme="majorBidi"/>
          <w:b/>
          <w:bCs/>
          <w:szCs w:val="24"/>
          <w:u w:val="single"/>
          <w:lang w:eastAsia="fr-FR"/>
        </w:rPr>
        <w:t xml:space="preserve"> sont en désaccord sur un sujet, il n’est pas permis à l’imitateur de prendre n’importe quel avis parmi les deux. </w:t>
      </w:r>
    </w:p>
    <w:p w:rsidR="00C27FF6" w:rsidRPr="00526E5B" w:rsidRDefault="00C27FF6" w:rsidP="00C27FF6">
      <w:pPr>
        <w:pStyle w:val="Sansinterligne"/>
        <w:rPr>
          <w:rFonts w:asciiTheme="majorBidi" w:hAnsiTheme="majorBidi" w:cstheme="majorBidi"/>
          <w:szCs w:val="24"/>
          <w:lang w:eastAsia="fr-FR"/>
        </w:rPr>
      </w:pPr>
    </w:p>
    <w:p w:rsidR="00C27FF6"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 xml:space="preserve">Certaines personnes pensent que l’imitateur peut choisir entre les deux avis comme il l’entend. Ils s’imaginent qu’il est couvert et qu’il n’a rien à craindre, du coup il suit ses envies : il suit les avis qui l’arrangent et certainement pas ceux qui contredisent ses désirs. Et peut être qu’il se justifiera en évoquant les fatwas des </w:t>
      </w:r>
      <w:proofErr w:type="spellStart"/>
      <w:r w:rsidRPr="00562885">
        <w:rPr>
          <w:rFonts w:asciiTheme="majorBidi" w:hAnsiTheme="majorBidi" w:cstheme="majorBidi"/>
          <w:i/>
          <w:iCs/>
          <w:szCs w:val="24"/>
          <w:lang w:eastAsia="fr-FR"/>
        </w:rPr>
        <w:t>Mouftis</w:t>
      </w:r>
      <w:proofErr w:type="spellEnd"/>
      <w:r w:rsidRPr="00526E5B">
        <w:rPr>
          <w:rFonts w:asciiTheme="majorBidi" w:hAnsiTheme="majorBidi" w:cstheme="majorBidi"/>
          <w:szCs w:val="24"/>
          <w:lang w:eastAsia="fr-FR"/>
        </w:rPr>
        <w:t xml:space="preserve"> contemporains  et qu’il confirmera cette position en évoquant la parole du prophète : « </w:t>
      </w:r>
      <w:r w:rsidRPr="00526E5B">
        <w:rPr>
          <w:rFonts w:asciiTheme="majorBidi" w:hAnsiTheme="majorBidi" w:cstheme="majorBidi"/>
          <w:b/>
          <w:bCs/>
          <w:szCs w:val="24"/>
          <w:lang w:eastAsia="fr-FR"/>
        </w:rPr>
        <w:t>mes compagnons sont comme des étoiles</w:t>
      </w:r>
      <w:r w:rsidRPr="00526E5B">
        <w:rPr>
          <w:rFonts w:asciiTheme="majorBidi" w:hAnsiTheme="majorBidi" w:cstheme="majorBidi"/>
          <w:szCs w:val="24"/>
          <w:lang w:eastAsia="fr-FR"/>
        </w:rPr>
        <w:t> » sur laquelle nous avons déjà discuté.</w:t>
      </w:r>
    </w:p>
    <w:p w:rsidR="00C27FF6" w:rsidRPr="00526E5B" w:rsidRDefault="00C27FF6" w:rsidP="00C27FF6">
      <w:pPr>
        <w:pStyle w:val="Sansinterligne"/>
        <w:rPr>
          <w:rFonts w:asciiTheme="majorBidi" w:hAnsiTheme="majorBidi" w:cstheme="majorBidi"/>
          <w:szCs w:val="24"/>
          <w:lang w:eastAsia="fr-FR"/>
        </w:rPr>
      </w:pPr>
    </w:p>
    <w:p w:rsidR="00C27FF6"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Si cette parole est authentique</w:t>
      </w:r>
      <w:r w:rsidRPr="00526E5B">
        <w:rPr>
          <w:rStyle w:val="Appelnotedebasdep"/>
          <w:rFonts w:asciiTheme="majorBidi" w:hAnsiTheme="majorBidi" w:cstheme="majorBidi"/>
          <w:szCs w:val="24"/>
          <w:lang w:eastAsia="fr-FR"/>
        </w:rPr>
        <w:footnoteReference w:id="1"/>
      </w:r>
      <w:r w:rsidRPr="00526E5B">
        <w:rPr>
          <w:rFonts w:asciiTheme="majorBidi" w:hAnsiTheme="majorBidi" w:cstheme="majorBidi"/>
          <w:szCs w:val="24"/>
          <w:lang w:eastAsia="fr-FR"/>
        </w:rPr>
        <w:t xml:space="preserve">,  elle concerne l’imitateur qui prend la fatwa d’un compagnon sans qu’un autre ne le contredise. Par contre ce hadith ne concerne pas la divergence de deux </w:t>
      </w:r>
      <w:proofErr w:type="spellStart"/>
      <w:r w:rsidRPr="00526E5B">
        <w:rPr>
          <w:rFonts w:asciiTheme="majorBidi" w:hAnsiTheme="majorBidi" w:cstheme="majorBidi"/>
          <w:szCs w:val="24"/>
          <w:lang w:eastAsia="fr-FR"/>
        </w:rPr>
        <w:t>mouftis</w:t>
      </w:r>
      <w:proofErr w:type="spellEnd"/>
      <w:r w:rsidRPr="00526E5B">
        <w:rPr>
          <w:rFonts w:asciiTheme="majorBidi" w:hAnsiTheme="majorBidi" w:cstheme="majorBidi"/>
          <w:szCs w:val="24"/>
          <w:lang w:eastAsia="fr-FR"/>
        </w:rPr>
        <w:t xml:space="preserve"> car chacun d’eux suit un argument qui l’amène à prendre une position contraire à celle de son collègue qui, pour construire son avis, a employé un autre argument. Il y a donc deux personnes en possession de deux arguments contraires.</w:t>
      </w:r>
    </w:p>
    <w:p w:rsidR="00C27FF6" w:rsidRPr="00526E5B" w:rsidRDefault="00C27FF6" w:rsidP="00C27FF6">
      <w:pPr>
        <w:pStyle w:val="Sansinterligne"/>
        <w:rPr>
          <w:rFonts w:asciiTheme="majorBidi" w:hAnsiTheme="majorBidi" w:cstheme="majorBidi"/>
          <w:szCs w:val="24"/>
          <w:lang w:eastAsia="fr-FR"/>
        </w:rPr>
      </w:pPr>
    </w:p>
    <w:p w:rsidR="00C27FF6" w:rsidRPr="00526E5B"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Donc, suivre l’un d’entre eux selon son bon vouloir signifie tout simplement suivre ses envies.</w:t>
      </w:r>
    </w:p>
    <w:p w:rsidR="00C27FF6" w:rsidRDefault="00C27FF6" w:rsidP="00C27FF6">
      <w:pPr>
        <w:pStyle w:val="Sansinterligne"/>
        <w:rPr>
          <w:rFonts w:asciiTheme="majorBidi" w:hAnsiTheme="majorBidi" w:cstheme="majorBidi"/>
          <w:szCs w:val="24"/>
          <w:lang w:eastAsia="fr-FR"/>
        </w:rPr>
      </w:pPr>
    </w:p>
    <w:p w:rsidR="00C27FF6" w:rsidRPr="00526E5B"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 xml:space="preserve">Il faut donc trouver une </w:t>
      </w:r>
      <w:r w:rsidRPr="00526E5B">
        <w:rPr>
          <w:rFonts w:asciiTheme="majorBidi" w:hAnsiTheme="majorBidi" w:cstheme="majorBidi"/>
          <w:szCs w:val="24"/>
          <w:u w:val="single"/>
          <w:lang w:eastAsia="fr-FR"/>
        </w:rPr>
        <w:t>prédominance</w:t>
      </w:r>
      <w:r w:rsidRPr="00526E5B">
        <w:rPr>
          <w:rFonts w:asciiTheme="majorBidi" w:hAnsiTheme="majorBidi" w:cstheme="majorBidi"/>
          <w:szCs w:val="24"/>
          <w:lang w:eastAsia="fr-FR"/>
        </w:rPr>
        <w:t xml:space="preserve"> entre les deux </w:t>
      </w:r>
      <w:proofErr w:type="spellStart"/>
      <w:r w:rsidRPr="00562885">
        <w:rPr>
          <w:rFonts w:asciiTheme="majorBidi" w:hAnsiTheme="majorBidi" w:cstheme="majorBidi"/>
          <w:i/>
          <w:iCs/>
          <w:szCs w:val="24"/>
          <w:lang w:eastAsia="fr-FR"/>
        </w:rPr>
        <w:t>Mouftis</w:t>
      </w:r>
      <w:proofErr w:type="spellEnd"/>
      <w:r w:rsidRPr="00526E5B">
        <w:rPr>
          <w:rFonts w:asciiTheme="majorBidi" w:hAnsiTheme="majorBidi" w:cstheme="majorBidi"/>
          <w:szCs w:val="24"/>
          <w:lang w:eastAsia="fr-FR"/>
        </w:rPr>
        <w:t xml:space="preserve"> en comparant par exemple leur niveau de science ou d’autres choses.</w:t>
      </w:r>
    </w:p>
    <w:p w:rsidR="00C27FF6" w:rsidRDefault="00C27FF6" w:rsidP="00C27FF6">
      <w:pPr>
        <w:pStyle w:val="Sansinterligne"/>
        <w:rPr>
          <w:rFonts w:asciiTheme="majorBidi" w:hAnsiTheme="majorBidi" w:cstheme="majorBidi"/>
          <w:szCs w:val="24"/>
          <w:lang w:eastAsia="fr-FR"/>
        </w:rPr>
      </w:pPr>
    </w:p>
    <w:p w:rsidR="00C27FF6"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L’attitude du savant devant deux sources contradictoires est semblable à l’attitude du commun des musulmans devant deux savants qui s’opposent. De la même façon que le  savant doit choisir entre les deux arguments en trouvant une prédominance dans l’un d’eux ou bien s’arrêter, l’imitateur doit choisir entre les deux savants en trouvant une prédominance ou bien s’arrêter.</w:t>
      </w:r>
    </w:p>
    <w:p w:rsidR="00C27FF6" w:rsidRPr="00526E5B" w:rsidRDefault="00C27FF6" w:rsidP="00C27FF6">
      <w:pPr>
        <w:pStyle w:val="Sansinterligne"/>
        <w:rPr>
          <w:rFonts w:asciiTheme="majorBidi" w:hAnsiTheme="majorBidi" w:cstheme="majorBidi"/>
          <w:szCs w:val="24"/>
          <w:lang w:eastAsia="fr-FR"/>
        </w:rPr>
      </w:pPr>
    </w:p>
    <w:p w:rsidR="00C27FF6" w:rsidRPr="00526E5B"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 xml:space="preserve">S’il était permis de juger en fonction de ses désirs, il aurait été permis au juge de le faire aussi, or cela est faux de part le consensus des savants. </w:t>
      </w:r>
    </w:p>
    <w:p w:rsidR="00C27FF6" w:rsidRDefault="00C27FF6" w:rsidP="00C27FF6">
      <w:pPr>
        <w:pStyle w:val="Sansinterligne"/>
        <w:rPr>
          <w:rFonts w:asciiTheme="majorBidi" w:hAnsiTheme="majorBidi" w:cstheme="majorBidi"/>
          <w:szCs w:val="24"/>
          <w:lang w:eastAsia="fr-FR"/>
        </w:rPr>
      </w:pPr>
    </w:p>
    <w:p w:rsidR="00C27FF6" w:rsidRPr="00526E5B"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De plus, il y a des versets coraniques qui interdisent de suivre les envies :</w:t>
      </w:r>
      <w:r w:rsidRPr="00526E5B">
        <w:rPr>
          <w:rFonts w:asciiTheme="majorBidi" w:hAnsiTheme="majorBidi" w:cstheme="majorBidi"/>
          <w:color w:val="000080"/>
          <w:szCs w:val="24"/>
          <w:rtl/>
          <w:lang w:eastAsia="fr-FR"/>
        </w:rPr>
        <w:t xml:space="preserve"> </w:t>
      </w:r>
    </w:p>
    <w:p w:rsidR="00C27FF6" w:rsidRDefault="00C27FF6" w:rsidP="00C27FF6">
      <w:pPr>
        <w:pStyle w:val="Sansinterligne"/>
        <w:rPr>
          <w:rFonts w:asciiTheme="majorBidi" w:hAnsiTheme="majorBidi" w:cstheme="majorBidi"/>
          <w:szCs w:val="24"/>
          <w:lang w:eastAsia="fr-FR"/>
        </w:rPr>
      </w:pPr>
    </w:p>
    <w:p w:rsidR="00C27FF6" w:rsidRDefault="00C27FF6" w:rsidP="00C27FF6">
      <w:pPr>
        <w:pStyle w:val="Sansinterligne"/>
        <w:jc w:val="center"/>
        <w:rPr>
          <w:rFonts w:asciiTheme="majorBidi" w:hAnsiTheme="majorBidi" w:cstheme="majorBidi"/>
          <w:szCs w:val="24"/>
          <w:lang w:eastAsia="fr-FR"/>
        </w:rPr>
      </w:pPr>
      <w:r w:rsidRPr="00526E5B">
        <w:rPr>
          <w:rFonts w:asciiTheme="majorBidi" w:hAnsiTheme="majorBidi" w:cstheme="majorBidi"/>
          <w:szCs w:val="24"/>
          <w:lang w:eastAsia="fr-FR"/>
        </w:rPr>
        <w:lastRenderedPageBreak/>
        <w:t>« </w:t>
      </w:r>
      <w:r w:rsidRPr="00526E5B">
        <w:rPr>
          <w:rFonts w:asciiTheme="majorBidi" w:hAnsiTheme="majorBidi" w:cstheme="majorBidi"/>
          <w:b/>
          <w:bCs/>
          <w:color w:val="FF0000"/>
          <w:szCs w:val="24"/>
          <w:lang w:eastAsia="fr-FR"/>
        </w:rPr>
        <w:t xml:space="preserve">Si vous divergez sur une chose </w:t>
      </w:r>
      <w:proofErr w:type="gramStart"/>
      <w:r w:rsidRPr="00526E5B">
        <w:rPr>
          <w:rFonts w:asciiTheme="majorBidi" w:hAnsiTheme="majorBidi" w:cstheme="majorBidi"/>
          <w:b/>
          <w:bCs/>
          <w:color w:val="FF0000"/>
          <w:szCs w:val="24"/>
          <w:lang w:eastAsia="fr-FR"/>
        </w:rPr>
        <w:t>ramenez le</w:t>
      </w:r>
      <w:proofErr w:type="gramEnd"/>
      <w:r w:rsidRPr="00526E5B">
        <w:rPr>
          <w:rFonts w:asciiTheme="majorBidi" w:hAnsiTheme="majorBidi" w:cstheme="majorBidi"/>
          <w:b/>
          <w:bCs/>
          <w:color w:val="FF0000"/>
          <w:szCs w:val="24"/>
          <w:lang w:eastAsia="fr-FR"/>
        </w:rPr>
        <w:t xml:space="preserve"> devant Allah et Son messager</w:t>
      </w:r>
      <w:r w:rsidRPr="00526E5B">
        <w:rPr>
          <w:rFonts w:asciiTheme="majorBidi" w:hAnsiTheme="majorBidi" w:cstheme="majorBidi"/>
          <w:szCs w:val="24"/>
          <w:lang w:eastAsia="fr-FR"/>
        </w:rPr>
        <w:t> »</w:t>
      </w:r>
    </w:p>
    <w:p w:rsidR="00C27FF6" w:rsidRPr="00526E5B" w:rsidRDefault="00C27FF6" w:rsidP="00C27FF6">
      <w:pPr>
        <w:pStyle w:val="Sansinterligne"/>
        <w:jc w:val="center"/>
        <w:rPr>
          <w:rFonts w:asciiTheme="majorBidi" w:hAnsiTheme="majorBidi" w:cstheme="majorBidi"/>
          <w:color w:val="0000FF"/>
          <w:szCs w:val="24"/>
          <w:lang w:eastAsia="fr-FR"/>
        </w:rPr>
      </w:pPr>
      <w:r w:rsidRPr="00526E5B">
        <w:rPr>
          <w:rFonts w:asciiTheme="majorBidi" w:hAnsiTheme="majorBidi" w:cstheme="majorBidi"/>
          <w:color w:val="0000FF"/>
          <w:szCs w:val="24"/>
          <w:lang w:eastAsia="fr-FR"/>
        </w:rPr>
        <w:t>[</w:t>
      </w:r>
      <w:r w:rsidRPr="00526E5B">
        <w:rPr>
          <w:rFonts w:asciiTheme="majorBidi" w:hAnsiTheme="majorBidi" w:cstheme="majorBidi"/>
          <w:szCs w:val="24"/>
          <w:lang w:eastAsia="fr-FR"/>
        </w:rPr>
        <w:t>Sourate 4, Verset 59</w:t>
      </w:r>
      <w:r w:rsidRPr="00526E5B">
        <w:rPr>
          <w:rFonts w:asciiTheme="majorBidi" w:hAnsiTheme="majorBidi" w:cstheme="majorBidi"/>
          <w:color w:val="0000FF"/>
          <w:szCs w:val="24"/>
          <w:lang w:eastAsia="fr-FR"/>
        </w:rPr>
        <w:t>]</w:t>
      </w:r>
    </w:p>
    <w:p w:rsidR="00C27FF6" w:rsidRPr="00526E5B"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 xml:space="preserve"> </w:t>
      </w:r>
    </w:p>
    <w:p w:rsidR="00C27FF6"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 xml:space="preserve">Cet imitateur qui amène un sujet sur lequel deux </w:t>
      </w:r>
      <w:proofErr w:type="spellStart"/>
      <w:r w:rsidRPr="00562885">
        <w:rPr>
          <w:rFonts w:asciiTheme="majorBidi" w:hAnsiTheme="majorBidi" w:cstheme="majorBidi"/>
          <w:i/>
          <w:iCs/>
          <w:szCs w:val="24"/>
          <w:lang w:eastAsia="fr-FR"/>
        </w:rPr>
        <w:t>Moujtahides</w:t>
      </w:r>
      <w:proofErr w:type="spellEnd"/>
      <w:r w:rsidRPr="00526E5B">
        <w:rPr>
          <w:rFonts w:asciiTheme="majorBidi" w:hAnsiTheme="majorBidi" w:cstheme="majorBidi"/>
          <w:szCs w:val="24"/>
          <w:lang w:eastAsia="fr-FR"/>
        </w:rPr>
        <w:t xml:space="preserve"> sont en désaccord doit ramener ce désaccord devant Allah et Son messager, c’est à dire revenir aux arguments légaux (</w:t>
      </w:r>
      <w:proofErr w:type="spellStart"/>
      <w:r w:rsidRPr="00562885">
        <w:rPr>
          <w:rFonts w:asciiTheme="majorBidi" w:hAnsiTheme="majorBidi" w:cstheme="majorBidi"/>
          <w:i/>
          <w:iCs/>
          <w:szCs w:val="24"/>
          <w:lang w:eastAsia="fr-FR"/>
        </w:rPr>
        <w:t>Dalils</w:t>
      </w:r>
      <w:proofErr w:type="spellEnd"/>
      <w:r w:rsidRPr="00526E5B">
        <w:rPr>
          <w:rFonts w:asciiTheme="majorBidi" w:hAnsiTheme="majorBidi" w:cstheme="majorBidi"/>
          <w:szCs w:val="24"/>
          <w:lang w:eastAsia="fr-FR"/>
        </w:rPr>
        <w:t>).</w:t>
      </w:r>
    </w:p>
    <w:p w:rsidR="00C27FF6" w:rsidRPr="00526E5B" w:rsidRDefault="00C27FF6" w:rsidP="00C27FF6">
      <w:pPr>
        <w:pStyle w:val="Sansinterligne"/>
        <w:rPr>
          <w:rFonts w:asciiTheme="majorBidi" w:hAnsiTheme="majorBidi" w:cstheme="majorBidi"/>
          <w:szCs w:val="24"/>
          <w:lang w:eastAsia="fr-FR"/>
        </w:rPr>
      </w:pPr>
    </w:p>
    <w:p w:rsidR="00C27FF6"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Cette attitude est la plus correcte pour s’éloigner de ses envies.</w:t>
      </w:r>
    </w:p>
    <w:p w:rsidR="00C27FF6" w:rsidRPr="00526E5B" w:rsidRDefault="00C27FF6" w:rsidP="00C27FF6">
      <w:pPr>
        <w:pStyle w:val="Sansinterligne"/>
        <w:rPr>
          <w:rFonts w:asciiTheme="majorBidi" w:hAnsiTheme="majorBidi" w:cstheme="majorBidi"/>
          <w:szCs w:val="24"/>
          <w:lang w:eastAsia="fr-FR"/>
        </w:rPr>
      </w:pPr>
    </w:p>
    <w:p w:rsidR="00C27FF6"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 xml:space="preserve">Suivre l’un des deux </w:t>
      </w:r>
      <w:proofErr w:type="spellStart"/>
      <w:r w:rsidRPr="00562885">
        <w:rPr>
          <w:rFonts w:asciiTheme="majorBidi" w:hAnsiTheme="majorBidi" w:cstheme="majorBidi"/>
          <w:i/>
          <w:iCs/>
          <w:szCs w:val="24"/>
          <w:lang w:eastAsia="fr-FR"/>
        </w:rPr>
        <w:t>Madhabs</w:t>
      </w:r>
      <w:proofErr w:type="spellEnd"/>
      <w:r w:rsidRPr="00526E5B">
        <w:rPr>
          <w:rFonts w:asciiTheme="majorBidi" w:hAnsiTheme="majorBidi" w:cstheme="majorBidi"/>
          <w:szCs w:val="24"/>
          <w:lang w:eastAsia="fr-FR"/>
        </w:rPr>
        <w:t xml:space="preserve"> au moyen de ses envies est une attitude contraire au retour à Allah et à Son messager. Ce verset est descendu en réponse à ceux qui suivaient leur envies en revenant au jugement des </w:t>
      </w:r>
      <w:proofErr w:type="spellStart"/>
      <w:r>
        <w:rPr>
          <w:rFonts w:asciiTheme="majorBidi" w:hAnsiTheme="majorBidi" w:cstheme="majorBidi"/>
          <w:szCs w:val="24"/>
          <w:lang w:eastAsia="fr-FR"/>
        </w:rPr>
        <w:t>T</w:t>
      </w:r>
      <w:r w:rsidRPr="00562885">
        <w:rPr>
          <w:rFonts w:asciiTheme="majorBidi" w:hAnsiTheme="majorBidi" w:cstheme="majorBidi"/>
          <w:szCs w:val="24"/>
          <w:lang w:eastAsia="fr-FR"/>
        </w:rPr>
        <w:t>aghout</w:t>
      </w:r>
      <w:proofErr w:type="spellEnd"/>
      <w:r>
        <w:rPr>
          <w:rStyle w:val="Appelnotedebasdep"/>
          <w:rFonts w:asciiTheme="majorBidi" w:hAnsiTheme="majorBidi" w:cstheme="majorBidi"/>
          <w:szCs w:val="24"/>
          <w:lang w:eastAsia="fr-FR"/>
        </w:rPr>
        <w:footnoteReference w:id="2"/>
      </w:r>
      <w:r w:rsidRPr="00562885">
        <w:rPr>
          <w:rFonts w:asciiTheme="majorBidi" w:hAnsiTheme="majorBidi" w:cstheme="majorBidi"/>
          <w:szCs w:val="24"/>
          <w:lang w:eastAsia="fr-FR"/>
        </w:rPr>
        <w:t xml:space="preserve"> </w:t>
      </w:r>
      <w:r w:rsidRPr="00526E5B">
        <w:rPr>
          <w:rFonts w:asciiTheme="majorBidi" w:hAnsiTheme="majorBidi" w:cstheme="majorBidi"/>
          <w:szCs w:val="24"/>
          <w:lang w:eastAsia="fr-FR"/>
        </w:rPr>
        <w:t>(</w:t>
      </w:r>
      <w:r>
        <w:rPr>
          <w:rFonts w:asciiTheme="majorBidi" w:hAnsiTheme="majorBidi" w:cstheme="majorBidi"/>
          <w:szCs w:val="24"/>
          <w:lang w:eastAsia="fr-FR"/>
        </w:rPr>
        <w:t>Fausse divinité</w:t>
      </w:r>
      <w:r w:rsidRPr="00526E5B">
        <w:rPr>
          <w:rFonts w:asciiTheme="majorBidi" w:hAnsiTheme="majorBidi" w:cstheme="majorBidi"/>
          <w:szCs w:val="24"/>
          <w:lang w:eastAsia="fr-FR"/>
        </w:rPr>
        <w:t>) et c’est pour cela qu’Il a fait suivre le verset par :</w:t>
      </w:r>
    </w:p>
    <w:p w:rsidR="00C27FF6" w:rsidRPr="00526E5B"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color w:val="000080"/>
          <w:szCs w:val="24"/>
          <w:rtl/>
          <w:lang w:eastAsia="fr-FR"/>
        </w:rPr>
        <w:t xml:space="preserve"> </w:t>
      </w:r>
    </w:p>
    <w:p w:rsidR="00C27FF6" w:rsidRDefault="00C27FF6" w:rsidP="00C27FF6">
      <w:pPr>
        <w:pStyle w:val="Sansinterligne"/>
        <w:jc w:val="center"/>
        <w:rPr>
          <w:rFonts w:asciiTheme="majorBidi" w:hAnsiTheme="majorBidi" w:cstheme="majorBidi"/>
          <w:szCs w:val="24"/>
          <w:lang w:eastAsia="fr-FR"/>
        </w:rPr>
      </w:pPr>
      <w:r w:rsidRPr="00526E5B">
        <w:rPr>
          <w:rFonts w:asciiTheme="majorBidi" w:hAnsiTheme="majorBidi" w:cstheme="majorBidi"/>
          <w:szCs w:val="24"/>
          <w:lang w:eastAsia="fr-FR"/>
        </w:rPr>
        <w:t>« </w:t>
      </w:r>
      <w:proofErr w:type="gramStart"/>
      <w:r w:rsidRPr="00526E5B">
        <w:rPr>
          <w:rFonts w:asciiTheme="majorBidi" w:hAnsiTheme="majorBidi" w:cstheme="majorBidi"/>
          <w:b/>
          <w:bCs/>
          <w:color w:val="FF0000"/>
          <w:szCs w:val="24"/>
          <w:lang w:eastAsia="fr-FR"/>
        </w:rPr>
        <w:t>ne</w:t>
      </w:r>
      <w:proofErr w:type="gramEnd"/>
      <w:r w:rsidRPr="00526E5B">
        <w:rPr>
          <w:rFonts w:asciiTheme="majorBidi" w:hAnsiTheme="majorBidi" w:cstheme="majorBidi"/>
          <w:b/>
          <w:bCs/>
          <w:color w:val="FF0000"/>
          <w:szCs w:val="24"/>
          <w:lang w:eastAsia="fr-FR"/>
        </w:rPr>
        <w:t xml:space="preserve"> vois tu pas ceux qui prétendent croire en ce que nous avons fait descendre sur toi ?</w:t>
      </w:r>
      <w:r w:rsidRPr="00526E5B">
        <w:rPr>
          <w:rFonts w:asciiTheme="majorBidi" w:hAnsiTheme="majorBidi" w:cstheme="majorBidi"/>
          <w:szCs w:val="24"/>
          <w:lang w:eastAsia="fr-FR"/>
        </w:rPr>
        <w:t> »</w:t>
      </w:r>
    </w:p>
    <w:p w:rsidR="00C27FF6" w:rsidRPr="00526E5B" w:rsidRDefault="00C27FF6" w:rsidP="00C27FF6">
      <w:pPr>
        <w:pStyle w:val="Sansinterligne"/>
        <w:jc w:val="center"/>
        <w:rPr>
          <w:rFonts w:asciiTheme="majorBidi" w:hAnsiTheme="majorBidi" w:cstheme="majorBidi"/>
          <w:color w:val="0000FF"/>
          <w:szCs w:val="24"/>
          <w:lang w:eastAsia="fr-FR"/>
        </w:rPr>
      </w:pPr>
      <w:r w:rsidRPr="00526E5B">
        <w:rPr>
          <w:rFonts w:asciiTheme="majorBidi" w:hAnsiTheme="majorBidi" w:cstheme="majorBidi"/>
          <w:color w:val="0000FF"/>
          <w:szCs w:val="24"/>
          <w:lang w:eastAsia="fr-FR"/>
        </w:rPr>
        <w:t>[</w:t>
      </w:r>
      <w:r w:rsidRPr="00526E5B">
        <w:rPr>
          <w:rFonts w:asciiTheme="majorBidi" w:hAnsiTheme="majorBidi" w:cstheme="majorBidi"/>
          <w:szCs w:val="24"/>
          <w:lang w:eastAsia="fr-FR"/>
        </w:rPr>
        <w:t>Sourate 4, Verset 60</w:t>
      </w:r>
      <w:r w:rsidRPr="00526E5B">
        <w:rPr>
          <w:rFonts w:asciiTheme="majorBidi" w:hAnsiTheme="majorBidi" w:cstheme="majorBidi"/>
          <w:color w:val="0000FF"/>
          <w:szCs w:val="24"/>
          <w:lang w:eastAsia="fr-FR"/>
        </w:rPr>
        <w:t>]</w:t>
      </w:r>
    </w:p>
    <w:p w:rsidR="00C27FF6" w:rsidRPr="00526E5B"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 xml:space="preserve"> </w:t>
      </w:r>
    </w:p>
    <w:p w:rsidR="00C27FF6"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 xml:space="preserve">De plus, suivre les avis de celui que l’on veut, conduit à prendre </w:t>
      </w:r>
      <w:r w:rsidRPr="00526E5B">
        <w:rPr>
          <w:rFonts w:asciiTheme="majorBidi" w:hAnsiTheme="majorBidi" w:cstheme="majorBidi"/>
          <w:b/>
          <w:bCs/>
          <w:szCs w:val="24"/>
          <w:lang w:eastAsia="fr-FR"/>
        </w:rPr>
        <w:t>les permissions</w:t>
      </w:r>
      <w:r w:rsidRPr="00526E5B">
        <w:rPr>
          <w:rFonts w:asciiTheme="majorBidi" w:hAnsiTheme="majorBidi" w:cstheme="majorBidi"/>
          <w:szCs w:val="24"/>
          <w:lang w:eastAsia="fr-FR"/>
        </w:rPr>
        <w:t xml:space="preserve"> de chaque </w:t>
      </w:r>
      <w:proofErr w:type="spellStart"/>
      <w:r w:rsidRPr="00C27FF6">
        <w:rPr>
          <w:rFonts w:asciiTheme="majorBidi" w:hAnsiTheme="majorBidi" w:cstheme="majorBidi"/>
          <w:i/>
          <w:iCs/>
          <w:szCs w:val="24"/>
          <w:lang w:eastAsia="fr-FR"/>
        </w:rPr>
        <w:t>Madhab</w:t>
      </w:r>
      <w:proofErr w:type="spellEnd"/>
      <w:r w:rsidRPr="00526E5B">
        <w:rPr>
          <w:rFonts w:asciiTheme="majorBidi" w:hAnsiTheme="majorBidi" w:cstheme="majorBidi"/>
          <w:szCs w:val="24"/>
          <w:lang w:eastAsia="fr-FR"/>
        </w:rPr>
        <w:t xml:space="preserve"> sans s’appuyer sur aucun argument légal, or ibn </w:t>
      </w:r>
      <w:proofErr w:type="spellStart"/>
      <w:r w:rsidRPr="00526E5B">
        <w:rPr>
          <w:rFonts w:asciiTheme="majorBidi" w:hAnsiTheme="majorBidi" w:cstheme="majorBidi"/>
          <w:szCs w:val="24"/>
          <w:lang w:eastAsia="fr-FR"/>
        </w:rPr>
        <w:t>hazm</w:t>
      </w:r>
      <w:proofErr w:type="spellEnd"/>
      <w:r w:rsidRPr="00526E5B">
        <w:rPr>
          <w:rFonts w:asciiTheme="majorBidi" w:hAnsiTheme="majorBidi" w:cstheme="majorBidi"/>
          <w:szCs w:val="24"/>
          <w:lang w:eastAsia="fr-FR"/>
        </w:rPr>
        <w:t xml:space="preserve"> a rapporté le consensus des savants sur son interdiction</w:t>
      </w:r>
      <w:r>
        <w:rPr>
          <w:rStyle w:val="Appelnotedebasdep"/>
          <w:rFonts w:asciiTheme="majorBidi" w:hAnsiTheme="majorBidi" w:cstheme="majorBidi"/>
          <w:szCs w:val="24"/>
          <w:lang w:eastAsia="fr-FR"/>
        </w:rPr>
        <w:footnoteReference w:id="3"/>
      </w:r>
      <w:r w:rsidRPr="00562885">
        <w:rPr>
          <w:rFonts w:asciiTheme="majorBidi" w:hAnsiTheme="majorBidi" w:cstheme="majorBidi"/>
          <w:szCs w:val="24"/>
          <w:lang w:eastAsia="fr-FR"/>
        </w:rPr>
        <w:t>.</w:t>
      </w:r>
      <w:r w:rsidRPr="00526E5B">
        <w:rPr>
          <w:rFonts w:asciiTheme="majorBidi" w:hAnsiTheme="majorBidi" w:cstheme="majorBidi"/>
          <w:szCs w:val="24"/>
          <w:lang w:eastAsia="fr-FR"/>
        </w:rPr>
        <w:t xml:space="preserve"> </w:t>
      </w:r>
    </w:p>
    <w:p w:rsidR="00C27FF6" w:rsidRPr="00526E5B" w:rsidRDefault="00C27FF6" w:rsidP="00C27FF6">
      <w:pPr>
        <w:pStyle w:val="Sansinterligne"/>
        <w:rPr>
          <w:rFonts w:asciiTheme="majorBidi" w:hAnsiTheme="majorBidi" w:cstheme="majorBidi"/>
          <w:szCs w:val="24"/>
          <w:lang w:eastAsia="fr-FR"/>
        </w:rPr>
      </w:pPr>
    </w:p>
    <w:p w:rsidR="00C27FF6" w:rsidRDefault="00C27FF6" w:rsidP="00C27FF6">
      <w:pPr>
        <w:pStyle w:val="Sansinterligne"/>
        <w:rPr>
          <w:rFonts w:asciiTheme="majorBidi" w:hAnsiTheme="majorBidi" w:cstheme="majorBidi"/>
          <w:szCs w:val="24"/>
          <w:lang w:eastAsia="fr-FR"/>
        </w:rPr>
      </w:pPr>
      <w:r w:rsidRPr="00526E5B">
        <w:rPr>
          <w:rFonts w:asciiTheme="majorBidi" w:hAnsiTheme="majorBidi" w:cstheme="majorBidi"/>
          <w:szCs w:val="24"/>
          <w:lang w:eastAsia="fr-FR"/>
        </w:rPr>
        <w:t>En outre, cela amène à décharger l’adorateur de toute responsabilité (</w:t>
      </w:r>
      <w:proofErr w:type="spellStart"/>
      <w:r w:rsidRPr="00C27FF6">
        <w:rPr>
          <w:rFonts w:asciiTheme="majorBidi" w:hAnsiTheme="majorBidi" w:cstheme="majorBidi"/>
          <w:i/>
          <w:iCs/>
          <w:szCs w:val="24"/>
          <w:lang w:eastAsia="fr-FR"/>
        </w:rPr>
        <w:t>Taklif</w:t>
      </w:r>
      <w:proofErr w:type="spellEnd"/>
      <w:r w:rsidRPr="00526E5B">
        <w:rPr>
          <w:rFonts w:asciiTheme="majorBidi" w:hAnsiTheme="majorBidi" w:cstheme="majorBidi"/>
          <w:szCs w:val="24"/>
          <w:lang w:eastAsia="fr-FR"/>
        </w:rPr>
        <w:t xml:space="preserve">) dans tous les sujets où il y a un désaccord. En effet, celui qui choisit le </w:t>
      </w:r>
      <w:proofErr w:type="spellStart"/>
      <w:r w:rsidRPr="00C27FF6">
        <w:rPr>
          <w:rFonts w:asciiTheme="majorBidi" w:hAnsiTheme="majorBidi" w:cstheme="majorBidi"/>
          <w:i/>
          <w:iCs/>
          <w:szCs w:val="24"/>
          <w:lang w:eastAsia="fr-FR"/>
        </w:rPr>
        <w:t>Madhab</w:t>
      </w:r>
      <w:proofErr w:type="spellEnd"/>
      <w:r w:rsidRPr="00526E5B">
        <w:rPr>
          <w:rFonts w:asciiTheme="majorBidi" w:hAnsiTheme="majorBidi" w:cstheme="majorBidi"/>
          <w:szCs w:val="24"/>
          <w:lang w:eastAsia="fr-FR"/>
        </w:rPr>
        <w:t xml:space="preserve"> selon sa convenance, est libre de faire ou de ne pas faire, or ceci est l’essence même de la déresponsabilisation. Alors que chercher une prédominance revient à suivre les preuves et donc il ne suit pas ses envies. Il ne supprime pas la responsabilité (la charge) qu’Allah lui a donnée.</w:t>
      </w:r>
    </w:p>
    <w:p w:rsidR="00C27FF6" w:rsidRDefault="00C27FF6" w:rsidP="00C27FF6"/>
    <w:p w:rsidR="00704369" w:rsidRPr="00C27FF6" w:rsidRDefault="00C27FF6" w:rsidP="00C27FF6">
      <w:pPr>
        <w:rPr>
          <w:rFonts w:asciiTheme="majorBidi" w:hAnsiTheme="majorBidi" w:cstheme="majorBidi"/>
          <w:sz w:val="24"/>
          <w:szCs w:val="24"/>
        </w:rPr>
      </w:pPr>
      <w:r w:rsidRPr="00C27FF6">
        <w:rPr>
          <w:rFonts w:asciiTheme="majorBidi" w:hAnsiTheme="majorBidi" w:cstheme="majorBidi"/>
          <w:b/>
          <w:bCs/>
          <w:sz w:val="24"/>
          <w:szCs w:val="24"/>
          <w:u w:val="single"/>
        </w:rPr>
        <w:t>Source</w:t>
      </w:r>
      <w:r w:rsidRPr="00C27FF6">
        <w:rPr>
          <w:rFonts w:asciiTheme="majorBidi" w:hAnsiTheme="majorBidi" w:cstheme="majorBidi"/>
          <w:sz w:val="24"/>
          <w:szCs w:val="24"/>
        </w:rPr>
        <w:t xml:space="preserve"> : </w:t>
      </w:r>
      <w:r w:rsidRPr="00C27FF6">
        <w:rPr>
          <w:rFonts w:asciiTheme="majorBidi" w:eastAsia="Times New Roman" w:hAnsiTheme="majorBidi" w:cstheme="majorBidi"/>
          <w:sz w:val="24"/>
          <w:szCs w:val="24"/>
          <w:lang w:eastAsia="fr-FR"/>
        </w:rPr>
        <w:t xml:space="preserve">Al </w:t>
      </w:r>
      <w:proofErr w:type="spellStart"/>
      <w:r>
        <w:rPr>
          <w:rFonts w:asciiTheme="majorBidi" w:eastAsia="Times New Roman" w:hAnsiTheme="majorBidi" w:cstheme="majorBidi"/>
          <w:sz w:val="24"/>
          <w:szCs w:val="24"/>
          <w:lang w:eastAsia="fr-FR"/>
        </w:rPr>
        <w:t>M</w:t>
      </w:r>
      <w:r w:rsidRPr="00C27FF6">
        <w:rPr>
          <w:rFonts w:asciiTheme="majorBidi" w:eastAsia="Times New Roman" w:hAnsiTheme="majorBidi" w:cstheme="majorBidi"/>
          <w:sz w:val="24"/>
          <w:szCs w:val="24"/>
          <w:lang w:eastAsia="fr-FR"/>
        </w:rPr>
        <w:t>ouwâfaqât</w:t>
      </w:r>
      <w:proofErr w:type="spellEnd"/>
      <w:r>
        <w:rPr>
          <w:rFonts w:asciiTheme="majorBidi" w:eastAsia="Times New Roman" w:hAnsiTheme="majorBidi" w:cstheme="majorBidi"/>
          <w:sz w:val="24"/>
          <w:szCs w:val="24"/>
          <w:lang w:eastAsia="fr-FR"/>
        </w:rPr>
        <w:t>.</w:t>
      </w:r>
    </w:p>
    <w:sectPr w:rsidR="00704369" w:rsidRPr="00C27FF6" w:rsidSect="00C27FF6">
      <w:footerReference w:type="default" r:id="rId10"/>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504" w:rsidRDefault="005F4504" w:rsidP="00E62CCE">
      <w:pPr>
        <w:spacing w:after="0" w:line="240" w:lineRule="auto"/>
      </w:pPr>
      <w:r>
        <w:separator/>
      </w:r>
    </w:p>
  </w:endnote>
  <w:endnote w:type="continuationSeparator" w:id="0">
    <w:p w:rsidR="005F4504" w:rsidRDefault="005F4504" w:rsidP="00E62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453"/>
      <w:docPartObj>
        <w:docPartGallery w:val="Page Numbers (Bottom of Page)"/>
        <w:docPartUnique/>
      </w:docPartObj>
    </w:sdtPr>
    <w:sdtContent>
      <w:p w:rsidR="00E62CCE" w:rsidRPr="00E62CCE" w:rsidRDefault="00995F44" w:rsidP="00E62CCE">
        <w:pPr>
          <w:pStyle w:val="Pieddepage"/>
          <w:jc w:val="center"/>
          <w:rPr>
            <w:rFonts w:asciiTheme="majorBidi" w:hAnsiTheme="majorBidi" w:cstheme="majorBidi"/>
            <w:b/>
            <w:bCs/>
            <w:color w:val="404040" w:themeColor="text1" w:themeTint="BF"/>
            <w:sz w:val="26"/>
            <w:szCs w:val="26"/>
          </w:rPr>
        </w:pPr>
        <w:sdt>
          <w:sdtPr>
            <w:rPr>
              <w:rFonts w:asciiTheme="majorHAnsi" w:eastAsiaTheme="majorEastAsia" w:hAnsiTheme="majorHAnsi" w:cstheme="majorBidi"/>
              <w:b/>
              <w:bCs/>
            </w:rPr>
            <w:id w:val="11316442"/>
            <w:docPartObj>
              <w:docPartGallery w:val="Page Numbers (Bottom of Page)"/>
              <w:docPartUnique/>
            </w:docPartObj>
          </w:sdtPr>
          <w:sdtEndPr>
            <w:rPr>
              <w:b w:val="0"/>
              <w:bCs w:val="0"/>
            </w:rPr>
          </w:sdtEndPr>
          <w:sdtContent>
            <w:r w:rsidR="00E62CCE" w:rsidRPr="00426799">
              <w:rPr>
                <w:b/>
                <w:bCs/>
                <w:color w:val="404040" w:themeColor="text1" w:themeTint="BF"/>
                <w:sz w:val="26"/>
                <w:szCs w:val="26"/>
              </w:rPr>
              <w:t xml:space="preserve"> </w:t>
            </w:r>
            <w:sdt>
              <w:sdtPr>
                <w:rPr>
                  <w:b/>
                  <w:bCs/>
                  <w:color w:val="404040" w:themeColor="text1" w:themeTint="BF"/>
                  <w:sz w:val="26"/>
                  <w:szCs w:val="26"/>
                </w:rPr>
                <w:id w:val="5122715"/>
                <w:docPartObj>
                  <w:docPartGallery w:val="Page Numbers (Bottom of Page)"/>
                  <w:docPartUnique/>
                </w:docPartObj>
              </w:sdtPr>
              <w:sdtEndPr>
                <w:rPr>
                  <w:color w:val="auto"/>
                  <w:sz w:val="22"/>
                  <w:szCs w:val="22"/>
                </w:rPr>
              </w:sdtEndPr>
              <w:sdtContent>
                <w:sdt>
                  <w:sdtPr>
                    <w:rPr>
                      <w:rFonts w:asciiTheme="majorBidi" w:hAnsiTheme="majorBidi" w:cstheme="majorBidi"/>
                      <w:b/>
                      <w:bCs/>
                      <w:color w:val="404040" w:themeColor="text1" w:themeTint="BF"/>
                      <w:sz w:val="26"/>
                      <w:szCs w:val="26"/>
                    </w:rPr>
                    <w:id w:val="66406374"/>
                    <w:docPartObj>
                      <w:docPartGallery w:val="Page Numbers (Bottom of Page)"/>
                      <w:docPartUnique/>
                    </w:docPartObj>
                  </w:sdtPr>
                  <w:sdtContent>
                    <w:hyperlink r:id="rId1" w:history="1">
                      <w:r w:rsidR="00E62CCE" w:rsidRPr="00426799">
                        <w:rPr>
                          <w:rStyle w:val="Lienhypertexte"/>
                          <w:rFonts w:asciiTheme="majorBidi" w:hAnsiTheme="majorBidi" w:cstheme="majorBidi"/>
                          <w:b/>
                          <w:bCs/>
                          <w:color w:val="404040" w:themeColor="text1" w:themeTint="BF"/>
                          <w:sz w:val="26"/>
                          <w:szCs w:val="26"/>
                        </w:rPr>
                        <w:t>http://bibliotheque-islamique-coran-sunna.over-blog.com/</w:t>
                      </w:r>
                    </w:hyperlink>
                  </w:sdtContent>
                </w:sdt>
              </w:sdtContent>
            </w:sdt>
          </w:sdtContent>
        </w:sdt>
        <w:r w:rsidRPr="00C27FF6">
          <w:rPr>
            <w:noProof/>
            <w:sz w:val="28"/>
            <w:szCs w:val="28"/>
            <w:lang w:eastAsia="zh-TW"/>
          </w:rPr>
          <w:pict>
            <v:oval id="_x0000_s3073" style="position:absolute;left:0;text-align:left;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3073" inset=",0,,0">
                <w:txbxContent>
                  <w:p w:rsidR="00E62CCE" w:rsidRPr="00C27FF6" w:rsidRDefault="00995F44">
                    <w:pPr>
                      <w:pStyle w:val="Pieddepage"/>
                      <w:rPr>
                        <w:b/>
                        <w:bCs/>
                        <w:color w:val="4F81BD" w:themeColor="accent1"/>
                        <w:sz w:val="28"/>
                        <w:szCs w:val="28"/>
                      </w:rPr>
                    </w:pPr>
                    <w:r w:rsidRPr="00C27FF6">
                      <w:rPr>
                        <w:b/>
                        <w:bCs/>
                        <w:sz w:val="28"/>
                        <w:szCs w:val="28"/>
                      </w:rPr>
                      <w:fldChar w:fldCharType="begin"/>
                    </w:r>
                    <w:r w:rsidRPr="00C27FF6">
                      <w:rPr>
                        <w:b/>
                        <w:bCs/>
                        <w:sz w:val="28"/>
                        <w:szCs w:val="28"/>
                      </w:rPr>
                      <w:instrText xml:space="preserve"> PAGE  \* MERGEFORMAT </w:instrText>
                    </w:r>
                    <w:r w:rsidRPr="00C27FF6">
                      <w:rPr>
                        <w:b/>
                        <w:bCs/>
                        <w:sz w:val="28"/>
                        <w:szCs w:val="28"/>
                      </w:rPr>
                      <w:fldChar w:fldCharType="separate"/>
                    </w:r>
                    <w:r w:rsidR="00A1794F" w:rsidRPr="00A1794F">
                      <w:rPr>
                        <w:b/>
                        <w:bCs/>
                        <w:noProof/>
                        <w:color w:val="4F81BD" w:themeColor="accent1"/>
                        <w:sz w:val="28"/>
                        <w:szCs w:val="28"/>
                      </w:rPr>
                      <w:t>1</w:t>
                    </w:r>
                    <w:r w:rsidRPr="00C27FF6">
                      <w:rPr>
                        <w:b/>
                        <w:bCs/>
                        <w:sz w:val="28"/>
                        <w:szCs w:val="28"/>
                      </w:rPr>
                      <w:fldChar w:fldCharType="end"/>
                    </w:r>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504" w:rsidRDefault="005F4504" w:rsidP="00E62CCE">
      <w:pPr>
        <w:spacing w:after="0" w:line="240" w:lineRule="auto"/>
      </w:pPr>
      <w:r>
        <w:separator/>
      </w:r>
    </w:p>
  </w:footnote>
  <w:footnote w:type="continuationSeparator" w:id="0">
    <w:p w:rsidR="005F4504" w:rsidRDefault="005F4504" w:rsidP="00E62CCE">
      <w:pPr>
        <w:spacing w:after="0" w:line="240" w:lineRule="auto"/>
      </w:pPr>
      <w:r>
        <w:continuationSeparator/>
      </w:r>
    </w:p>
  </w:footnote>
  <w:footnote w:id="1">
    <w:p w:rsidR="00C27FF6" w:rsidRPr="00562885" w:rsidRDefault="00C27FF6" w:rsidP="00C27FF6">
      <w:pPr>
        <w:pStyle w:val="Sansinterligne"/>
        <w:rPr>
          <w:sz w:val="20"/>
          <w:szCs w:val="20"/>
        </w:rPr>
      </w:pPr>
      <w:r w:rsidRPr="00562885">
        <w:rPr>
          <w:rStyle w:val="Appelnotedebasdep"/>
          <w:sz w:val="20"/>
          <w:szCs w:val="20"/>
        </w:rPr>
        <w:footnoteRef/>
      </w:r>
      <w:r w:rsidRPr="00562885">
        <w:rPr>
          <w:sz w:val="20"/>
          <w:szCs w:val="20"/>
        </w:rPr>
        <w:t xml:space="preserve"> Le Hadith dont parle l’auteur est un hadith fabriqué. En plus, la signification de ce </w:t>
      </w:r>
      <w:r w:rsidRPr="00562885">
        <w:rPr>
          <w:sz w:val="20"/>
          <w:szCs w:val="20"/>
          <w:u w:val="single"/>
        </w:rPr>
        <w:t>h</w:t>
      </w:r>
      <w:r w:rsidRPr="00562885">
        <w:rPr>
          <w:sz w:val="20"/>
          <w:szCs w:val="20"/>
        </w:rPr>
        <w:t xml:space="preserve">adith a été réprouvée par les grands savants : </w:t>
      </w:r>
      <w:r w:rsidRPr="00562885">
        <w:rPr>
          <w:sz w:val="20"/>
          <w:szCs w:val="20"/>
          <w:u w:val="single"/>
        </w:rPr>
        <w:t xml:space="preserve">Ibn </w:t>
      </w:r>
      <w:proofErr w:type="spellStart"/>
      <w:r w:rsidRPr="00562885">
        <w:rPr>
          <w:sz w:val="20"/>
          <w:szCs w:val="20"/>
          <w:u w:val="single"/>
        </w:rPr>
        <w:t>Hazm</w:t>
      </w:r>
      <w:proofErr w:type="spellEnd"/>
      <w:r w:rsidRPr="00562885">
        <w:rPr>
          <w:sz w:val="20"/>
          <w:szCs w:val="20"/>
        </w:rPr>
        <w:t xml:space="preserve"> </w:t>
      </w:r>
      <w:r w:rsidRPr="00562885">
        <w:rPr>
          <w:color w:val="000000"/>
          <w:sz w:val="20"/>
          <w:szCs w:val="20"/>
        </w:rPr>
        <w:t>-</w:t>
      </w:r>
      <w:r w:rsidRPr="00562885">
        <w:rPr>
          <w:i/>
          <w:iCs/>
          <w:color w:val="000000"/>
          <w:sz w:val="20"/>
          <w:szCs w:val="20"/>
        </w:rPr>
        <w:t>qu’Allah lui fasse Miséricorde</w:t>
      </w:r>
      <w:r w:rsidRPr="00562885">
        <w:rPr>
          <w:color w:val="000000"/>
          <w:sz w:val="20"/>
          <w:szCs w:val="20"/>
        </w:rPr>
        <w:t xml:space="preserve">- </w:t>
      </w:r>
      <w:r w:rsidRPr="00562885">
        <w:rPr>
          <w:sz w:val="20"/>
          <w:szCs w:val="20"/>
        </w:rPr>
        <w:t xml:space="preserve">a dit  après qu’il ait montré que ce n’était pas un </w:t>
      </w:r>
      <w:r w:rsidRPr="00562885">
        <w:rPr>
          <w:sz w:val="20"/>
          <w:szCs w:val="20"/>
          <w:u w:val="single"/>
        </w:rPr>
        <w:t>h</w:t>
      </w:r>
      <w:r w:rsidRPr="00562885">
        <w:rPr>
          <w:sz w:val="20"/>
          <w:szCs w:val="20"/>
        </w:rPr>
        <w:t>adith :  «</w:t>
      </w:r>
      <w:r w:rsidRPr="00562885">
        <w:rPr>
          <w:i/>
          <w:iCs/>
          <w:sz w:val="20"/>
          <w:szCs w:val="20"/>
        </w:rPr>
        <w:t> </w:t>
      </w:r>
      <w:r w:rsidRPr="00562885">
        <w:rPr>
          <w:b/>
          <w:bCs/>
          <w:color w:val="00B050"/>
          <w:sz w:val="20"/>
          <w:szCs w:val="20"/>
        </w:rPr>
        <w:t>Ceci est la plus mauvaise parole qui soit, car si la divergence était une miséricorde, alors l’union serait un châtiment et cela aucun musulman ne peut dire une chose pareille, en effet il n’y a que deux possibilités, l’union ou bien la divergence, la miséricorde ou bien le châtiment.</w:t>
      </w:r>
      <w:r w:rsidRPr="00562885">
        <w:rPr>
          <w:i/>
          <w:iCs/>
          <w:sz w:val="20"/>
          <w:szCs w:val="20"/>
        </w:rPr>
        <w:t> </w:t>
      </w:r>
      <w:r w:rsidRPr="00562885">
        <w:rPr>
          <w:sz w:val="20"/>
          <w:szCs w:val="20"/>
        </w:rPr>
        <w:t xml:space="preserve">» </w:t>
      </w:r>
      <w:r w:rsidRPr="00562885">
        <w:rPr>
          <w:b/>
          <w:bCs/>
          <w:sz w:val="20"/>
          <w:szCs w:val="20"/>
        </w:rPr>
        <w:t>[</w:t>
      </w:r>
      <w:r w:rsidRPr="00562885">
        <w:rPr>
          <w:sz w:val="20"/>
          <w:szCs w:val="20"/>
        </w:rPr>
        <w:t>Source : al-</w:t>
      </w:r>
      <w:proofErr w:type="spellStart"/>
      <w:r w:rsidRPr="00562885">
        <w:rPr>
          <w:sz w:val="20"/>
          <w:szCs w:val="20"/>
        </w:rPr>
        <w:t>Ihkâm</w:t>
      </w:r>
      <w:proofErr w:type="spellEnd"/>
      <w:r w:rsidRPr="00562885">
        <w:rPr>
          <w:sz w:val="20"/>
          <w:szCs w:val="20"/>
        </w:rPr>
        <w:t xml:space="preserve"> </w:t>
      </w:r>
      <w:proofErr w:type="spellStart"/>
      <w:r w:rsidRPr="00562885">
        <w:rPr>
          <w:sz w:val="20"/>
          <w:szCs w:val="20"/>
        </w:rPr>
        <w:t>fî</w:t>
      </w:r>
      <w:proofErr w:type="spellEnd"/>
      <w:r w:rsidRPr="00562885">
        <w:rPr>
          <w:sz w:val="20"/>
          <w:szCs w:val="20"/>
        </w:rPr>
        <w:t xml:space="preserve"> </w:t>
      </w:r>
      <w:proofErr w:type="spellStart"/>
      <w:r w:rsidRPr="00562885">
        <w:rPr>
          <w:sz w:val="20"/>
          <w:szCs w:val="20"/>
        </w:rPr>
        <w:t>ousouli</w:t>
      </w:r>
      <w:proofErr w:type="spellEnd"/>
      <w:r w:rsidRPr="00562885">
        <w:rPr>
          <w:sz w:val="20"/>
          <w:szCs w:val="20"/>
        </w:rPr>
        <w:t xml:space="preserve"> al-</w:t>
      </w:r>
      <w:proofErr w:type="spellStart"/>
      <w:r w:rsidRPr="00562885">
        <w:rPr>
          <w:sz w:val="20"/>
          <w:szCs w:val="20"/>
        </w:rPr>
        <w:t>Ahkam</w:t>
      </w:r>
      <w:proofErr w:type="spellEnd"/>
      <w:r w:rsidRPr="00562885">
        <w:rPr>
          <w:sz w:val="20"/>
          <w:szCs w:val="20"/>
        </w:rPr>
        <w:t xml:space="preserve">, 5/64].   </w:t>
      </w:r>
    </w:p>
    <w:p w:rsidR="00C27FF6" w:rsidRPr="00562885" w:rsidRDefault="00C27FF6" w:rsidP="00C27FF6">
      <w:pPr>
        <w:pStyle w:val="Sansinterligne"/>
        <w:rPr>
          <w:sz w:val="20"/>
          <w:szCs w:val="20"/>
        </w:rPr>
      </w:pPr>
      <w:r w:rsidRPr="00562885">
        <w:rPr>
          <w:sz w:val="20"/>
          <w:szCs w:val="20"/>
        </w:rPr>
        <w:t xml:space="preserve">Et il a dit à un autre endroit : « </w:t>
      </w:r>
      <w:r w:rsidRPr="00562885">
        <w:rPr>
          <w:b/>
          <w:bCs/>
          <w:color w:val="00B050"/>
          <w:sz w:val="20"/>
          <w:szCs w:val="20"/>
        </w:rPr>
        <w:t xml:space="preserve">C’est un faux </w:t>
      </w:r>
      <w:r w:rsidRPr="00562885">
        <w:rPr>
          <w:b/>
          <w:bCs/>
          <w:color w:val="00B050"/>
          <w:sz w:val="20"/>
          <w:szCs w:val="20"/>
          <w:u w:val="single"/>
        </w:rPr>
        <w:t>h</w:t>
      </w:r>
      <w:r w:rsidRPr="00562885">
        <w:rPr>
          <w:b/>
          <w:bCs/>
          <w:color w:val="00B050"/>
          <w:sz w:val="20"/>
          <w:szCs w:val="20"/>
        </w:rPr>
        <w:t>adith, un hadith mensonger.</w:t>
      </w:r>
      <w:r w:rsidRPr="00562885">
        <w:rPr>
          <w:i/>
          <w:iCs/>
          <w:sz w:val="20"/>
          <w:szCs w:val="20"/>
        </w:rPr>
        <w:t xml:space="preserve"> </w:t>
      </w:r>
      <w:r w:rsidRPr="00562885">
        <w:rPr>
          <w:sz w:val="20"/>
          <w:szCs w:val="20"/>
        </w:rPr>
        <w:t xml:space="preserve">» [(5/64) chapitre : "la condamnation de la divergence"]. </w:t>
      </w:r>
    </w:p>
  </w:footnote>
  <w:footnote w:id="2">
    <w:p w:rsidR="00C27FF6" w:rsidRPr="00C27FF6" w:rsidRDefault="00C27FF6" w:rsidP="00C27FF6">
      <w:pPr>
        <w:pStyle w:val="Sansinterligne"/>
        <w:jc w:val="both"/>
        <w:rPr>
          <w:rFonts w:asciiTheme="majorBidi" w:hAnsiTheme="majorBidi" w:cstheme="majorBidi"/>
          <w:sz w:val="20"/>
          <w:szCs w:val="20"/>
        </w:rPr>
      </w:pPr>
      <w:r w:rsidRPr="00C27FF6">
        <w:rPr>
          <w:rStyle w:val="Appelnotedebasdep"/>
          <w:sz w:val="20"/>
          <w:szCs w:val="20"/>
        </w:rPr>
        <w:footnoteRef/>
      </w:r>
      <w:r w:rsidRPr="00C27FF6">
        <w:rPr>
          <w:sz w:val="20"/>
          <w:szCs w:val="20"/>
        </w:rPr>
        <w:t xml:space="preserve"> </w:t>
      </w:r>
      <w:r w:rsidRPr="00C27FF6">
        <w:rPr>
          <w:rFonts w:asciiTheme="majorBidi" w:hAnsiTheme="majorBidi" w:cstheme="majorBidi"/>
          <w:sz w:val="20"/>
          <w:szCs w:val="20"/>
        </w:rPr>
        <w:t xml:space="preserve">Muhammad Ibn `Abd al </w:t>
      </w:r>
      <w:proofErr w:type="spellStart"/>
      <w:r w:rsidRPr="00C27FF6">
        <w:rPr>
          <w:rFonts w:asciiTheme="majorBidi" w:hAnsiTheme="majorBidi" w:cstheme="majorBidi"/>
          <w:sz w:val="20"/>
          <w:szCs w:val="20"/>
        </w:rPr>
        <w:t>Wahhab</w:t>
      </w:r>
      <w:proofErr w:type="spellEnd"/>
      <w:r w:rsidRPr="00C27FF6">
        <w:rPr>
          <w:rFonts w:asciiTheme="majorBidi" w:hAnsiTheme="majorBidi" w:cstheme="majorBidi"/>
          <w:sz w:val="20"/>
          <w:szCs w:val="20"/>
        </w:rPr>
        <w:t xml:space="preserve"> dit :</w:t>
      </w:r>
      <w:r w:rsidRPr="00C27FF6">
        <w:rPr>
          <w:rFonts w:asciiTheme="majorBidi" w:hAnsiTheme="majorBidi" w:cstheme="majorBidi"/>
          <w:sz w:val="20"/>
          <w:szCs w:val="20"/>
          <w:rtl/>
          <w:lang w:val="fr-BE"/>
        </w:rPr>
        <w:t xml:space="preserve"> </w:t>
      </w:r>
      <w:r w:rsidRPr="00C27FF6">
        <w:rPr>
          <w:rFonts w:asciiTheme="majorBidi" w:hAnsiTheme="majorBidi" w:cstheme="majorBidi"/>
          <w:sz w:val="20"/>
          <w:szCs w:val="20"/>
        </w:rPr>
        <w:t>« </w:t>
      </w:r>
      <w:r w:rsidRPr="00C27FF6">
        <w:rPr>
          <w:rFonts w:asciiTheme="majorBidi" w:hAnsiTheme="majorBidi" w:cstheme="majorBidi"/>
          <w:b/>
          <w:bCs/>
          <w:color w:val="00B050"/>
          <w:sz w:val="20"/>
          <w:szCs w:val="20"/>
        </w:rPr>
        <w:t xml:space="preserve">Et le sens du désaveu du </w:t>
      </w:r>
      <w:proofErr w:type="spellStart"/>
      <w:r w:rsidRPr="00C27FF6">
        <w:rPr>
          <w:rFonts w:asciiTheme="majorBidi" w:hAnsiTheme="majorBidi" w:cstheme="majorBidi"/>
          <w:b/>
          <w:bCs/>
          <w:color w:val="00B050"/>
          <w:sz w:val="20"/>
          <w:szCs w:val="20"/>
        </w:rPr>
        <w:t>Tâghoût</w:t>
      </w:r>
      <w:proofErr w:type="spellEnd"/>
      <w:r w:rsidRPr="00C27FF6">
        <w:rPr>
          <w:rFonts w:asciiTheme="majorBidi" w:hAnsiTheme="majorBidi" w:cstheme="majorBidi"/>
          <w:b/>
          <w:bCs/>
          <w:color w:val="00B050"/>
          <w:sz w:val="20"/>
          <w:szCs w:val="20"/>
        </w:rPr>
        <w:t xml:space="preserve">, c’est que tu te sépares de tous ce qui est pris pour divinité en dehors d’Allah -que ce soit un Djinn, un homme, un arbre, une pierre ou autre- et que tu témoignes de sa mécréance et de son égarement et que tu le haïsses, même si c’est ton père ou ton frère. Quant à celui qui dit « Je n’adore qu’Allah, et je ne m’oppose pas aux sidis, ni aux mausolées ni aux tombeaux, et autre paroles de ce genre : celui là a mentit lorsqu’il prétend dire « Il n’y a de vraie divinité qu’Allah. » Il n’a pas cru en Allah, et n’a pas désavoué le </w:t>
      </w:r>
      <w:proofErr w:type="spellStart"/>
      <w:r w:rsidRPr="00C27FF6">
        <w:rPr>
          <w:rFonts w:asciiTheme="majorBidi" w:hAnsiTheme="majorBidi" w:cstheme="majorBidi"/>
          <w:b/>
          <w:bCs/>
          <w:color w:val="00B050"/>
          <w:sz w:val="20"/>
          <w:szCs w:val="20"/>
        </w:rPr>
        <w:t>Tâghoût</w:t>
      </w:r>
      <w:proofErr w:type="spellEnd"/>
      <w:r w:rsidRPr="00C27FF6">
        <w:rPr>
          <w:rFonts w:asciiTheme="majorBidi" w:hAnsiTheme="majorBidi" w:cstheme="majorBidi"/>
          <w:b/>
          <w:bCs/>
          <w:color w:val="00B050"/>
          <w:sz w:val="20"/>
          <w:szCs w:val="20"/>
        </w:rPr>
        <w:t>.</w:t>
      </w:r>
      <w:r w:rsidRPr="00C27FF6">
        <w:rPr>
          <w:rFonts w:asciiTheme="majorBidi" w:hAnsiTheme="majorBidi" w:cstheme="majorBidi"/>
          <w:sz w:val="20"/>
          <w:szCs w:val="20"/>
        </w:rPr>
        <w:t> » [</w:t>
      </w:r>
      <w:proofErr w:type="spellStart"/>
      <w:r w:rsidRPr="00C27FF6">
        <w:rPr>
          <w:rFonts w:asciiTheme="majorBidi" w:hAnsiTheme="majorBidi" w:cstheme="majorBidi"/>
          <w:sz w:val="20"/>
          <w:szCs w:val="20"/>
        </w:rPr>
        <w:t>Dourar</w:t>
      </w:r>
      <w:proofErr w:type="spellEnd"/>
      <w:r w:rsidRPr="00C27FF6">
        <w:rPr>
          <w:rFonts w:asciiTheme="majorBidi" w:hAnsiTheme="majorBidi" w:cstheme="majorBidi"/>
          <w:sz w:val="20"/>
          <w:szCs w:val="20"/>
        </w:rPr>
        <w:t xml:space="preserve"> As-</w:t>
      </w:r>
      <w:proofErr w:type="spellStart"/>
      <w:r w:rsidRPr="00C27FF6">
        <w:rPr>
          <w:rFonts w:asciiTheme="majorBidi" w:hAnsiTheme="majorBidi" w:cstheme="majorBidi"/>
          <w:sz w:val="20"/>
          <w:szCs w:val="20"/>
        </w:rPr>
        <w:t>Saniyya</w:t>
      </w:r>
      <w:proofErr w:type="spellEnd"/>
      <w:r w:rsidRPr="00C27FF6">
        <w:rPr>
          <w:rFonts w:asciiTheme="majorBidi" w:hAnsiTheme="majorBidi" w:cstheme="majorBidi"/>
          <w:sz w:val="20"/>
          <w:szCs w:val="20"/>
        </w:rPr>
        <w:t xml:space="preserve"> 2/121, 122]</w:t>
      </w:r>
    </w:p>
  </w:footnote>
  <w:footnote w:id="3">
    <w:p w:rsidR="00C27FF6" w:rsidRPr="00562885" w:rsidRDefault="00C27FF6" w:rsidP="00C27FF6">
      <w:pPr>
        <w:pStyle w:val="Sansinterligne"/>
        <w:rPr>
          <w:sz w:val="20"/>
          <w:szCs w:val="20"/>
          <w:lang w:eastAsia="fr-FR"/>
        </w:rPr>
      </w:pPr>
      <w:r w:rsidRPr="00562885">
        <w:rPr>
          <w:rStyle w:val="Appelnotedebasdep"/>
          <w:sz w:val="20"/>
          <w:szCs w:val="20"/>
        </w:rPr>
        <w:footnoteRef/>
      </w:r>
      <w:r w:rsidRPr="00562885">
        <w:rPr>
          <w:sz w:val="20"/>
          <w:szCs w:val="20"/>
        </w:rPr>
        <w:t xml:space="preserve"> </w:t>
      </w:r>
      <w:proofErr w:type="spellStart"/>
      <w:r w:rsidRPr="00562885">
        <w:rPr>
          <w:sz w:val="20"/>
          <w:szCs w:val="20"/>
          <w:lang w:eastAsia="fr-FR"/>
        </w:rPr>
        <w:t>Soulaymân</w:t>
      </w:r>
      <w:proofErr w:type="spellEnd"/>
      <w:r w:rsidRPr="00562885">
        <w:rPr>
          <w:sz w:val="20"/>
          <w:szCs w:val="20"/>
          <w:lang w:eastAsia="fr-FR"/>
        </w:rPr>
        <w:t xml:space="preserve"> </w:t>
      </w:r>
      <w:proofErr w:type="spellStart"/>
      <w:r w:rsidRPr="00562885">
        <w:rPr>
          <w:sz w:val="20"/>
          <w:szCs w:val="20"/>
          <w:lang w:eastAsia="fr-FR"/>
        </w:rPr>
        <w:t>attamîmî</w:t>
      </w:r>
      <w:proofErr w:type="spellEnd"/>
      <w:r w:rsidRPr="00562885">
        <w:rPr>
          <w:sz w:val="20"/>
          <w:szCs w:val="20"/>
          <w:lang w:eastAsia="fr-FR"/>
        </w:rPr>
        <w:t xml:space="preserve"> </w:t>
      </w:r>
      <w:r w:rsidRPr="00562885">
        <w:rPr>
          <w:color w:val="000000"/>
          <w:sz w:val="20"/>
          <w:szCs w:val="20"/>
        </w:rPr>
        <w:t>-</w:t>
      </w:r>
      <w:r w:rsidRPr="00562885">
        <w:rPr>
          <w:i/>
          <w:iCs/>
          <w:color w:val="000000"/>
          <w:sz w:val="20"/>
          <w:szCs w:val="20"/>
        </w:rPr>
        <w:t>qu’Allah lui fasse Miséricorde</w:t>
      </w:r>
      <w:r w:rsidRPr="00562885">
        <w:rPr>
          <w:color w:val="000000"/>
          <w:sz w:val="20"/>
          <w:szCs w:val="20"/>
        </w:rPr>
        <w:t xml:space="preserve">- </w:t>
      </w:r>
      <w:r w:rsidRPr="00562885">
        <w:rPr>
          <w:sz w:val="20"/>
          <w:szCs w:val="20"/>
          <w:lang w:eastAsia="fr-FR"/>
        </w:rPr>
        <w:t>a dit : « </w:t>
      </w:r>
      <w:r w:rsidRPr="00562885">
        <w:rPr>
          <w:b/>
          <w:bCs/>
          <w:color w:val="00B050"/>
          <w:sz w:val="20"/>
          <w:szCs w:val="20"/>
          <w:lang w:eastAsia="fr-FR"/>
        </w:rPr>
        <w:t>Si tu prends  la permission de chaque savants, alors tu as réuni en toi le  mal tout entier.</w:t>
      </w:r>
      <w:r w:rsidRPr="00562885">
        <w:rPr>
          <w:color w:val="00B050"/>
          <w:sz w:val="20"/>
          <w:szCs w:val="20"/>
          <w:lang w:eastAsia="fr-FR"/>
        </w:rPr>
        <w:t> </w:t>
      </w:r>
      <w:r w:rsidRPr="00562885">
        <w:rPr>
          <w:sz w:val="20"/>
          <w:szCs w:val="20"/>
          <w:lang w:eastAsia="fr-FR"/>
        </w:rPr>
        <w:t xml:space="preserve">» Rapporté par Ibn ‘Abd Al-Barr </w:t>
      </w:r>
      <w:r w:rsidRPr="00562885">
        <w:rPr>
          <w:color w:val="000000"/>
          <w:sz w:val="20"/>
          <w:szCs w:val="20"/>
        </w:rPr>
        <w:t>-</w:t>
      </w:r>
      <w:r w:rsidRPr="00562885">
        <w:rPr>
          <w:i/>
          <w:iCs/>
          <w:color w:val="000000"/>
          <w:sz w:val="20"/>
          <w:szCs w:val="20"/>
        </w:rPr>
        <w:t>qu’Allah lui fasse Miséricorde</w:t>
      </w:r>
      <w:r w:rsidRPr="00562885">
        <w:rPr>
          <w:color w:val="000000"/>
          <w:sz w:val="20"/>
          <w:szCs w:val="20"/>
        </w:rPr>
        <w:t>-</w:t>
      </w:r>
      <w:r w:rsidRPr="00562885">
        <w:rPr>
          <w:sz w:val="20"/>
          <w:szCs w:val="20"/>
          <w:lang w:eastAsia="fr-FR"/>
        </w:rPr>
        <w:t>, Volume 2, page 927 qui a rapporté le consensus a ce sujet (</w:t>
      </w:r>
      <w:proofErr w:type="spellStart"/>
      <w:r w:rsidRPr="00562885">
        <w:rPr>
          <w:i/>
          <w:iCs/>
          <w:sz w:val="20"/>
          <w:szCs w:val="20"/>
          <w:lang w:eastAsia="fr-FR"/>
        </w:rPr>
        <w:t>ijma</w:t>
      </w:r>
      <w:proofErr w:type="spellEnd"/>
      <w:r w:rsidRPr="00562885">
        <w:rPr>
          <w:i/>
          <w:iCs/>
          <w:sz w:val="20"/>
          <w:szCs w:val="20"/>
          <w:lang w:eastAsia="fr-FR"/>
        </w:rPr>
        <w:t>’</w:t>
      </w:r>
      <w:r w:rsidRPr="00562885">
        <w:rPr>
          <w:sz w:val="20"/>
          <w:szCs w:val="20"/>
          <w:lang w:eastAsia="fr-FR"/>
        </w:rPr>
        <w:t>) dit : « </w:t>
      </w:r>
      <w:r w:rsidRPr="00562885">
        <w:rPr>
          <w:b/>
          <w:bCs/>
          <w:color w:val="00B050"/>
          <w:sz w:val="20"/>
          <w:szCs w:val="20"/>
          <w:lang w:eastAsia="fr-FR"/>
        </w:rPr>
        <w:t>sur ce point il y a le consensus, je ne  connais pas de divergence à son sujet.</w:t>
      </w:r>
      <w:r w:rsidRPr="00562885">
        <w:rPr>
          <w:sz w:val="20"/>
          <w:szCs w:val="20"/>
          <w:lang w:eastAsia="fr-FR"/>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C42D2"/>
    <w:multiLevelType w:val="multilevel"/>
    <w:tmpl w:val="49C8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264619"/>
    <w:rsid w:val="00044B3B"/>
    <w:rsid w:val="000C0174"/>
    <w:rsid w:val="00107DEC"/>
    <w:rsid w:val="00155319"/>
    <w:rsid w:val="00244602"/>
    <w:rsid w:val="00264619"/>
    <w:rsid w:val="002852C3"/>
    <w:rsid w:val="00300C8F"/>
    <w:rsid w:val="00367826"/>
    <w:rsid w:val="00376300"/>
    <w:rsid w:val="003C1DFB"/>
    <w:rsid w:val="003D3DCC"/>
    <w:rsid w:val="00401A2D"/>
    <w:rsid w:val="00463B17"/>
    <w:rsid w:val="004B08AB"/>
    <w:rsid w:val="00526E5B"/>
    <w:rsid w:val="00562885"/>
    <w:rsid w:val="00574E95"/>
    <w:rsid w:val="00584A92"/>
    <w:rsid w:val="005C627F"/>
    <w:rsid w:val="005F4504"/>
    <w:rsid w:val="00610866"/>
    <w:rsid w:val="00616207"/>
    <w:rsid w:val="00704369"/>
    <w:rsid w:val="00741238"/>
    <w:rsid w:val="00760C26"/>
    <w:rsid w:val="00762C54"/>
    <w:rsid w:val="00764046"/>
    <w:rsid w:val="0079737A"/>
    <w:rsid w:val="007A55E2"/>
    <w:rsid w:val="007B3625"/>
    <w:rsid w:val="007F5F17"/>
    <w:rsid w:val="008514F4"/>
    <w:rsid w:val="008C115B"/>
    <w:rsid w:val="00932B9E"/>
    <w:rsid w:val="00937064"/>
    <w:rsid w:val="009912A1"/>
    <w:rsid w:val="00994B1C"/>
    <w:rsid w:val="00995F44"/>
    <w:rsid w:val="009965BA"/>
    <w:rsid w:val="00A1794F"/>
    <w:rsid w:val="00B1200F"/>
    <w:rsid w:val="00BB0B50"/>
    <w:rsid w:val="00BD7CC8"/>
    <w:rsid w:val="00C27FF6"/>
    <w:rsid w:val="00C53C52"/>
    <w:rsid w:val="00C56B86"/>
    <w:rsid w:val="00CD4EBD"/>
    <w:rsid w:val="00D15EBD"/>
    <w:rsid w:val="00DC3741"/>
    <w:rsid w:val="00E62CCE"/>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19"/>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Sansinterligne">
    <w:name w:val="No Spacing"/>
    <w:link w:val="SansinterligneCar"/>
    <w:uiPriority w:val="1"/>
    <w:qFormat/>
    <w:rsid w:val="00E62CCE"/>
    <w:rPr>
      <w:rFonts w:cs="Arial"/>
      <w:sz w:val="24"/>
      <w:szCs w:val="22"/>
      <w:lang w:eastAsia="en-US"/>
    </w:rPr>
  </w:style>
  <w:style w:type="character" w:customStyle="1" w:styleId="SansinterligneCar">
    <w:name w:val="Sans interligne Car"/>
    <w:basedOn w:val="Policepardfaut"/>
    <w:link w:val="Sansinterligne"/>
    <w:uiPriority w:val="1"/>
    <w:rsid w:val="00E62CCE"/>
    <w:rPr>
      <w:rFonts w:cs="Arial"/>
      <w:sz w:val="24"/>
      <w:szCs w:val="22"/>
      <w:lang w:eastAsia="en-US"/>
    </w:rPr>
  </w:style>
  <w:style w:type="paragraph" w:styleId="Textedebulles">
    <w:name w:val="Balloon Text"/>
    <w:basedOn w:val="Normal"/>
    <w:link w:val="TextedebullesCar"/>
    <w:uiPriority w:val="99"/>
    <w:semiHidden/>
    <w:unhideWhenUsed/>
    <w:rsid w:val="00E62C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CCE"/>
    <w:rPr>
      <w:rFonts w:ascii="Tahoma" w:eastAsiaTheme="minorHAnsi" w:hAnsi="Tahoma" w:cs="Tahoma"/>
      <w:sz w:val="16"/>
      <w:szCs w:val="16"/>
      <w:lang w:eastAsia="en-US"/>
    </w:rPr>
  </w:style>
  <w:style w:type="paragraph" w:styleId="En-tte">
    <w:name w:val="header"/>
    <w:basedOn w:val="Normal"/>
    <w:link w:val="En-tteCar"/>
    <w:uiPriority w:val="99"/>
    <w:semiHidden/>
    <w:unhideWhenUsed/>
    <w:rsid w:val="00E62C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2CCE"/>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E62C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CCE"/>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E62CCE"/>
    <w:rPr>
      <w:color w:val="0000FF"/>
      <w:u w:val="single"/>
    </w:rPr>
  </w:style>
  <w:style w:type="paragraph" w:styleId="Notedebasdepage">
    <w:name w:val="footnote text"/>
    <w:basedOn w:val="Normal"/>
    <w:link w:val="NotedebasdepageCar"/>
    <w:uiPriority w:val="99"/>
    <w:semiHidden/>
    <w:unhideWhenUsed/>
    <w:rsid w:val="00DC37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3741"/>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DC374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48E1-D750-4BFB-AE51-B155BF6E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538</Words>
  <Characters>2961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2011-04-17T10:56:00Z</cp:lastPrinted>
  <dcterms:created xsi:type="dcterms:W3CDTF">2011-01-28T13:40:00Z</dcterms:created>
  <dcterms:modified xsi:type="dcterms:W3CDTF">2011-04-17T10:58:00Z</dcterms:modified>
</cp:coreProperties>
</file>