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69" w:rsidRDefault="00704369"/>
    <w:p w:rsidR="0031431C" w:rsidRDefault="0031431C"/>
    <w:p w:rsidR="0031431C" w:rsidRDefault="0031431C"/>
    <w:p w:rsidR="0031431C" w:rsidRDefault="0031431C"/>
    <w:p w:rsidR="0031431C" w:rsidRDefault="0031431C"/>
    <w:p w:rsidR="0031431C" w:rsidRDefault="0031431C"/>
    <w:p w:rsidR="0031431C" w:rsidRDefault="0031431C"/>
    <w:p w:rsidR="0031431C" w:rsidRDefault="0031431C"/>
    <w:p w:rsidR="0031431C" w:rsidRDefault="0031431C"/>
    <w:p w:rsidR="0031431C" w:rsidRDefault="0031431C"/>
    <w:p w:rsidR="0031431C" w:rsidRDefault="0031431C"/>
    <w:p w:rsidR="0031431C" w:rsidRDefault="0031431C"/>
    <w:p w:rsidR="0031431C" w:rsidRDefault="0031431C"/>
    <w:p w:rsidR="0031431C" w:rsidRDefault="0031431C"/>
    <w:p w:rsidR="0031431C" w:rsidRDefault="0031431C"/>
    <w:p w:rsidR="0031431C" w:rsidRDefault="0031431C"/>
    <w:p w:rsidR="0031431C" w:rsidRDefault="0031431C"/>
    <w:p w:rsidR="0031431C" w:rsidRDefault="0031431C"/>
    <w:p w:rsidR="0031431C" w:rsidRDefault="0031431C"/>
    <w:p w:rsidR="0031431C" w:rsidRDefault="0031431C"/>
    <w:p w:rsidR="000E37DB" w:rsidRPr="00CE66F6" w:rsidRDefault="000E37DB" w:rsidP="000E37DB">
      <w:pPr>
        <w:rPr>
          <w:rFonts w:asciiTheme="majorBidi" w:hAnsiTheme="majorBidi" w:cstheme="majorBidi"/>
        </w:rPr>
      </w:pPr>
    </w:p>
    <w:p w:rsidR="000E37DB" w:rsidRDefault="000E37DB" w:rsidP="000E37DB">
      <w:pPr>
        <w:jc w:val="right"/>
        <w:rPr>
          <w:color w:val="7F7F7F"/>
          <w:sz w:val="32"/>
          <w:szCs w:val="32"/>
        </w:rPr>
      </w:pPr>
      <w:r w:rsidRPr="00B74F66">
        <w:rPr>
          <w:noProof/>
          <w:color w:val="C4BC96"/>
          <w:sz w:val="32"/>
          <w:szCs w:val="32"/>
          <w:lang w:eastAsia="en-US"/>
        </w:rPr>
        <w:pict>
          <v:group id="_x0000_s2050" style="position:absolute;left:0;text-align:left;margin-left:0;margin-top:0;width:610.2pt;height:790.2pt;z-index:-251658240;mso-width-percent:1000;mso-height-percent:1000;mso-position-horizontal:center;mso-position-horizontal-relative:page;mso-position-vertical:center;mso-position-vertical-relative:page;mso-width-percent:1000;mso-height-percent:1000" coordsize="12240,15840" o:allowincell="f">
            <v:rect id="_x0000_s2051" style="position:absolute;width:12240;height:15840;mso-width-percent:1000;mso-height-percent:1000;mso-position-horizontal:center;mso-position-horizontal-relative:page;mso-position-vertical:top;mso-position-vertical-relative:page;mso-width-percent:1000;mso-height-percent:1000" strokecolor="#666" strokeweight="1pt">
              <v:fill color2="#999" focusposition="1" focussize="" focus="100%" type="gradient"/>
              <v:shadow type="perspective" color="#7f7f7f" opacity=".5" offset="1pt" offset2="-3pt"/>
            </v:rect>
            <v:rect id="_x0000_s2052" style="position:absolute;left:612;top:638;width:11016;height:14564;mso-width-percent:900;mso-height-percent:920;mso-position-horizontal:center;mso-position-horizontal-relative:page;mso-position-vertical:center;mso-position-vertical-relative:page;mso-width-percent:900;mso-height-percent:920" strokecolor="#666" strokeweight="1pt">
              <v:fill color2="#999" focusposition="1" focussize="" focus="100%" type="gradient"/>
              <v:shadow type="perspective" color="#7f7f7f" opacity=".5" offset="1pt" offset2="-3pt"/>
            </v:rect>
            <w10:wrap anchorx="page" anchory="page"/>
          </v:group>
        </w:pict>
      </w:r>
    </w:p>
    <w:tbl>
      <w:tblPr>
        <w:tblpPr w:leftFromText="187" w:rightFromText="187" w:horzAnchor="margin" w:tblpXSpec="center" w:tblpYSpec="bottom"/>
        <w:tblOverlap w:val="never"/>
        <w:tblW w:w="0" w:type="auto"/>
        <w:tblLook w:val="04A0"/>
      </w:tblPr>
      <w:tblGrid>
        <w:gridCol w:w="9288"/>
      </w:tblGrid>
      <w:tr w:rsidR="000E37DB" w:rsidTr="009C4040">
        <w:tc>
          <w:tcPr>
            <w:tcW w:w="9576" w:type="dxa"/>
          </w:tcPr>
          <w:p w:rsidR="000E37DB" w:rsidRPr="005C5E4B" w:rsidRDefault="000E37DB" w:rsidP="009C404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0E37DB" w:rsidRPr="005C5E4B" w:rsidRDefault="000E37DB" w:rsidP="009C404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0E37DB" w:rsidRPr="005C5E4B" w:rsidRDefault="000E37DB" w:rsidP="009C404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0E37DB" w:rsidRPr="005C5E4B" w:rsidRDefault="000E37DB" w:rsidP="009C404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0E37DB" w:rsidRPr="005C5E4B" w:rsidRDefault="000E37DB" w:rsidP="009C404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0E37DB" w:rsidRPr="005C5E4B" w:rsidRDefault="000E37DB" w:rsidP="009C4040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0E37DB" w:rsidRPr="005C5E4B" w:rsidRDefault="000E37DB" w:rsidP="009C4040">
            <w:pPr>
              <w:spacing w:before="100" w:beforeAutospacing="1"/>
              <w:jc w:val="center"/>
              <w:rPr>
                <w:rFonts w:ascii="Book Antiqua" w:hAnsi="Book Antiqua"/>
                <w:b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  <w:p w:rsidR="000E37DB" w:rsidRPr="005C5E4B" w:rsidRDefault="000E37DB" w:rsidP="009C4040">
            <w:pPr>
              <w:spacing w:before="100" w:beforeAutospacing="1"/>
              <w:jc w:val="center"/>
              <w:rPr>
                <w:i/>
                <w:iCs/>
                <w:color w:val="FFFFFF" w:themeColor="background1"/>
                <w:sz w:val="28"/>
                <w:szCs w:val="28"/>
              </w:rPr>
            </w:pPr>
            <w:r w:rsidRPr="005C5E4B">
              <w:rPr>
                <w:rFonts w:ascii="Book Antiqua" w:hAnsi="Book Antiqua"/>
                <w:b/>
                <w:bCs/>
                <w:i/>
                <w:iCs/>
                <w:color w:val="FFFFFF" w:themeColor="background1"/>
                <w:sz w:val="28"/>
                <w:szCs w:val="28"/>
              </w:rPr>
              <w:t>Par Taqî ad-Dîn Abî al-’Abbâs Ahmad Ibn Taymiyyah al-Harânî</w:t>
            </w:r>
          </w:p>
        </w:tc>
      </w:tr>
    </w:tbl>
    <w:p w:rsidR="000E37DB" w:rsidRDefault="000E37DB" w:rsidP="000E37DB">
      <w:pPr>
        <w:jc w:val="right"/>
        <w:rPr>
          <w:color w:val="7F7F7F"/>
          <w:sz w:val="32"/>
          <w:szCs w:val="32"/>
        </w:rPr>
      </w:pPr>
    </w:p>
    <w:p w:rsidR="000E37DB" w:rsidRPr="009A570F" w:rsidRDefault="000E37DB" w:rsidP="000E37DB">
      <w:r w:rsidRPr="00B74F66">
        <w:rPr>
          <w:noProof/>
          <w:color w:val="C4BC96"/>
          <w:sz w:val="32"/>
          <w:szCs w:val="32"/>
          <w:lang w:eastAsia="en-US"/>
        </w:rPr>
        <w:pict>
          <v:rect id="_x0000_s2053" style="position:absolute;margin-left:0;margin-top:0;width:535.65pt;height:76.6pt;z-index:251658240;mso-width-percent:900;mso-position-horizontal:center;mso-position-horizontal-relative:page;mso-position-vertical:center;mso-position-vertical-relative:page;mso-width-percent:900" o:allowincell="f" fillcolor="#a5a5a5" stroked="f">
            <v:fill opacity="58982f"/>
            <v:textbox style="mso-next-textbox:#_x0000_s2053" inset="18pt,0,18pt,0">
              <w:txbxContent>
                <w:tbl>
                  <w:tblPr>
                    <w:tblW w:w="5000" w:type="pct"/>
                    <w:tblCellMar>
                      <w:left w:w="360" w:type="dxa"/>
                      <w:right w:w="360" w:type="dxa"/>
                    </w:tblCellMar>
                    <w:tblLook w:val="04A0"/>
                  </w:tblPr>
                  <w:tblGrid>
                    <w:gridCol w:w="2760"/>
                    <w:gridCol w:w="7968"/>
                  </w:tblGrid>
                  <w:tr w:rsidR="000E37DB" w:rsidRPr="00344919" w:rsidTr="00855F53">
                    <w:trPr>
                      <w:trHeight w:val="1080"/>
                    </w:trPr>
                    <w:tc>
                      <w:tcPr>
                        <w:tcW w:w="1000" w:type="pct"/>
                        <w:shd w:val="clear" w:color="auto" w:fill="000000"/>
                        <w:vAlign w:val="center"/>
                      </w:tcPr>
                      <w:p w:rsidR="000E37DB" w:rsidRPr="00344919" w:rsidRDefault="000E37DB" w:rsidP="00CB7712">
                        <w:pPr>
                          <w:jc w:val="center"/>
                          <w:rPr>
                            <w:smallCaps/>
                            <w:sz w:val="48"/>
                            <w:szCs w:val="48"/>
                          </w:rPr>
                        </w:pPr>
                        <w:r w:rsidRPr="00344919">
                          <w:rPr>
                            <w:smallCaps/>
                            <w:noProof/>
                            <w:sz w:val="48"/>
                            <w:szCs w:val="48"/>
                          </w:rPr>
                          <w:drawing>
                            <wp:inline distT="0" distB="0" distL="0" distR="0">
                              <wp:extent cx="1275080" cy="958215"/>
                              <wp:effectExtent l="19050" t="0" r="1270" b="0"/>
                              <wp:docPr id="3" name="Image 9" descr="chahada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chahada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75080" cy="9582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4000" w:type="pct"/>
                        <w:shd w:val="clear" w:color="auto" w:fill="auto"/>
                        <w:vAlign w:val="center"/>
                      </w:tcPr>
                      <w:p w:rsidR="000E37DB" w:rsidRPr="00F5171C" w:rsidRDefault="00D05731" w:rsidP="00344919">
                        <w:pPr>
                          <w:widowControl w:val="0"/>
                          <w:adjustRightInd w:val="0"/>
                          <w:spacing w:after="100"/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Mise en garde contre le l</w:t>
                        </w:r>
                        <w:r w:rsidRPr="00D05731">
                          <w:rPr>
                            <w:rFonts w:asciiTheme="majorBidi" w:hAnsiTheme="majorBidi" w:cstheme="majorBidi"/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 xml:space="preserve">ivre : </w:t>
                        </w:r>
                        <w:r w:rsidRPr="00D05731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Revivifiance des sciences de la religion [I</w:t>
                        </w:r>
                        <w:r w:rsidRPr="00D05731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  <w:u w:val="single"/>
                          </w:rPr>
                          <w:t>h</w:t>
                        </w:r>
                        <w:r w:rsidRPr="00D05731">
                          <w:rPr>
                            <w:b/>
                            <w:bCs/>
                            <w:color w:val="FFFFFF" w:themeColor="background1"/>
                            <w:sz w:val="36"/>
                            <w:szCs w:val="36"/>
                          </w:rPr>
                          <w:t>yâ 'ouloûm ad-dîn]</w:t>
                        </w:r>
                      </w:p>
                    </w:tc>
                  </w:tr>
                </w:tbl>
                <w:p w:rsidR="000E37DB" w:rsidRPr="00344919" w:rsidRDefault="000E37DB" w:rsidP="000E37DB">
                  <w:pPr>
                    <w:pStyle w:val="Sansinterligne"/>
                    <w:spacing w:line="14" w:lineRule="exact"/>
                    <w:rPr>
                      <w:sz w:val="48"/>
                      <w:szCs w:val="48"/>
                    </w:rPr>
                  </w:pPr>
                </w:p>
              </w:txbxContent>
            </v:textbox>
            <w10:wrap anchorx="page" anchory="page"/>
          </v:rect>
        </w:pict>
      </w:r>
      <w:r>
        <w:br w:type="page"/>
      </w:r>
    </w:p>
    <w:p w:rsidR="0031431C" w:rsidRPr="00490F28" w:rsidRDefault="000E37DB" w:rsidP="00BC5073">
      <w:pPr>
        <w:spacing w:before="100" w:beforeAutospacing="1"/>
        <w:jc w:val="center"/>
      </w:pPr>
      <w:r>
        <w:rPr>
          <w:noProof/>
        </w:rPr>
        <w:lastRenderedPageBreak/>
        <w:drawing>
          <wp:inline distT="0" distB="0" distL="0" distR="0">
            <wp:extent cx="3762375" cy="1209675"/>
            <wp:effectExtent l="19050" t="0" r="9525" b="0"/>
            <wp:docPr id="4" name="Image 1" descr="bismila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smilah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5731" w:rsidRDefault="00D05731" w:rsidP="00D05731">
      <w:pPr>
        <w:pStyle w:val="Sansinterligne"/>
      </w:pPr>
    </w:p>
    <w:p w:rsidR="00D05731" w:rsidRDefault="0031431C" w:rsidP="00D05731">
      <w:pPr>
        <w:pStyle w:val="Sansinterligne"/>
      </w:pPr>
      <w:r w:rsidRPr="00D05731">
        <w:t>Le Livre de la "Revivification" [</w:t>
      </w:r>
      <w:r w:rsidRPr="00D05731">
        <w:rPr>
          <w:i/>
          <w:iCs/>
        </w:rPr>
        <w:t>Ihyâ</w:t>
      </w:r>
      <w:r w:rsidRPr="00D05731">
        <w:t xml:space="preserve">], suit le Livre des "Nourritures des Cœurs" dans ce que ce dernier évoque concernant les </w:t>
      </w:r>
      <w:r w:rsidR="00D05731" w:rsidRPr="00D05731">
        <w:t xml:space="preserve">œuvres </w:t>
      </w:r>
      <w:r w:rsidRPr="00D05731">
        <w:t xml:space="preserve">des cœurs : la patience et la reconnaissance par exemple, l'amour, la confiance, la réalisation de l'unité divine, etc. Abou </w:t>
      </w:r>
      <w:proofErr w:type="spellStart"/>
      <w:r w:rsidRPr="00D05731">
        <w:t>Tâlib</w:t>
      </w:r>
      <w:proofErr w:type="spellEnd"/>
      <w:r w:rsidRPr="00D05731">
        <w:t xml:space="preserve"> est plus savant de la tradition [</w:t>
      </w:r>
      <w:r w:rsidRPr="00D05731">
        <w:rPr>
          <w:i/>
          <w:iCs/>
        </w:rPr>
        <w:t>hadîth</w:t>
      </w:r>
      <w:r w:rsidRPr="00D05731">
        <w:t>], des récits [</w:t>
      </w:r>
      <w:proofErr w:type="spellStart"/>
      <w:r w:rsidRPr="00D05731">
        <w:rPr>
          <w:i/>
          <w:iCs/>
        </w:rPr>
        <w:t>athâr</w:t>
      </w:r>
      <w:proofErr w:type="spellEnd"/>
      <w:r w:rsidRPr="00D05731">
        <w:t xml:space="preserve">] et des propos des Gens qui possèdent les sciences des cœurs, soufis et autres, que Abou </w:t>
      </w:r>
      <w:proofErr w:type="spellStart"/>
      <w:r w:rsidRPr="00D05731">
        <w:t>Hâmid</w:t>
      </w:r>
      <w:proofErr w:type="spellEnd"/>
      <w:r w:rsidRPr="00D05731">
        <w:t xml:space="preserve"> al-</w:t>
      </w:r>
      <w:proofErr w:type="spellStart"/>
      <w:r w:rsidRPr="00D05731">
        <w:t>Ghazâlî</w:t>
      </w:r>
      <w:proofErr w:type="spellEnd"/>
      <w:r w:rsidRPr="00D05731">
        <w:t>. Ses propos sont plus corrects, meilleurs pour ce qui est de réaliser les choses [</w:t>
      </w:r>
      <w:proofErr w:type="spellStart"/>
      <w:r w:rsidRPr="00D05731">
        <w:rPr>
          <w:i/>
          <w:iCs/>
        </w:rPr>
        <w:t>tahqîq</w:t>
      </w:r>
      <w:proofErr w:type="spellEnd"/>
      <w:r w:rsidRPr="00D05731">
        <w:t xml:space="preserve">] et plus éloignés de l'innovation. </w:t>
      </w:r>
    </w:p>
    <w:p w:rsidR="00D05731" w:rsidRDefault="00D05731" w:rsidP="00D05731">
      <w:pPr>
        <w:pStyle w:val="Sansinterligne"/>
      </w:pPr>
    </w:p>
    <w:p w:rsidR="00D05731" w:rsidRDefault="0031431C" w:rsidP="00D05731">
      <w:pPr>
        <w:pStyle w:val="Sansinterligne"/>
      </w:pPr>
      <w:r w:rsidRPr="00D05731">
        <w:t>Dans La "Nourriture des Cœurs", il est cependant des hadîth faibles et inventés ainsi que plusieurs choses à rejeter. La plupart de ce que l'on trouve dans la "Revivification" comme propos concernant ce qui fait périr - les propos concernant l'orgueil par exemple, l'infatuation et l'ostension, la jalousie, etc. - est tiré des propos d'al-Hârith al-</w:t>
      </w:r>
      <w:proofErr w:type="spellStart"/>
      <w:r w:rsidRPr="00D05731">
        <w:t>Muhâsibî</w:t>
      </w:r>
      <w:proofErr w:type="spellEnd"/>
      <w:r w:rsidRPr="00D05731">
        <w:t xml:space="preserve"> dans "L'Observance" [</w:t>
      </w:r>
      <w:proofErr w:type="spellStart"/>
      <w:r w:rsidRPr="00D05731">
        <w:rPr>
          <w:i/>
          <w:iCs/>
        </w:rPr>
        <w:t>al-Ri'ayâ</w:t>
      </w:r>
      <w:proofErr w:type="spellEnd"/>
      <w:r w:rsidRPr="00D05731">
        <w:t xml:space="preserve">]. Certains de ces propos sont acceptables, d'autres sont à rejeter et il y a controverse à propos d'autres. </w:t>
      </w:r>
    </w:p>
    <w:p w:rsidR="00D05731" w:rsidRDefault="00D05731" w:rsidP="00D05731">
      <w:pPr>
        <w:pStyle w:val="Sansinterligne"/>
      </w:pPr>
    </w:p>
    <w:p w:rsidR="00D05731" w:rsidRDefault="0031431C" w:rsidP="00D05731">
      <w:pPr>
        <w:pStyle w:val="Sansinterligne"/>
      </w:pPr>
      <w:r w:rsidRPr="00D05731">
        <w:t>La "Revivification" présente plusieurs intérêts mais il s'y trouve également des matières blâmables. Il s'y trouve en effet des matières corrompues : des propos des philosophes qui se rattachent à l'unité divine, à la prophétie et au retour [</w:t>
      </w:r>
      <w:proofErr w:type="spellStart"/>
      <w:r w:rsidRPr="00D05731">
        <w:rPr>
          <w:i/>
          <w:iCs/>
        </w:rPr>
        <w:t>ma</w:t>
      </w:r>
      <w:r w:rsidR="00D05731" w:rsidRPr="00D05731">
        <w:rPr>
          <w:i/>
          <w:iCs/>
        </w:rPr>
        <w:t>‘</w:t>
      </w:r>
      <w:r w:rsidRPr="00D05731">
        <w:rPr>
          <w:i/>
          <w:iCs/>
        </w:rPr>
        <w:t>âd</w:t>
      </w:r>
      <w:proofErr w:type="spellEnd"/>
      <w:r w:rsidRPr="00D05731">
        <w:t xml:space="preserve">]. Quand Abou </w:t>
      </w:r>
      <w:proofErr w:type="spellStart"/>
      <w:r w:rsidRPr="00D05731">
        <w:t>Hâmid</w:t>
      </w:r>
      <w:proofErr w:type="spellEnd"/>
      <w:r w:rsidRPr="00D05731">
        <w:t xml:space="preserve"> évoque les connaissances des soufis, il équivaut à quelqu'un qui prendrait un ennemi des Musulmans et l'habillerait des vêtements des Musulmans. Les Imâms de la Religion ont désapprouvé cela dans ses livres. "Sa maladie est La Guérison", </w:t>
      </w:r>
      <w:proofErr w:type="gramStart"/>
      <w:r w:rsidRPr="00D05731">
        <w:t>ont-il</w:t>
      </w:r>
      <w:proofErr w:type="gramEnd"/>
      <w:r w:rsidRPr="00D05731">
        <w:t xml:space="preserve"> dit, visant par-là Le "Livre de la Guérison" composé par Avicenne [Ibn </w:t>
      </w:r>
      <w:proofErr w:type="spellStart"/>
      <w:r w:rsidRPr="00D05731">
        <w:t>Sinâ</w:t>
      </w:r>
      <w:proofErr w:type="spellEnd"/>
      <w:r w:rsidRPr="00D05731">
        <w:t xml:space="preserve">] en philosophie. Il y a dans La "Revivification" des hadîth et des récits faibles ; plusieurs, même, sont inventés. </w:t>
      </w:r>
      <w:proofErr w:type="gramStart"/>
      <w:r w:rsidRPr="00D05731">
        <w:t>Ils s'y trouve</w:t>
      </w:r>
      <w:proofErr w:type="gramEnd"/>
      <w:r w:rsidRPr="00D05731">
        <w:t xml:space="preserve"> aussi quelques-unes des questions spécieuses [</w:t>
      </w:r>
      <w:proofErr w:type="spellStart"/>
      <w:r w:rsidRPr="00D05731">
        <w:rPr>
          <w:i/>
          <w:iCs/>
        </w:rPr>
        <w:t>aghâlît</w:t>
      </w:r>
      <w:proofErr w:type="spellEnd"/>
      <w:r w:rsidRPr="00D05731">
        <w:t>] des soufis et de leurs sornettes [</w:t>
      </w:r>
      <w:proofErr w:type="spellStart"/>
      <w:r w:rsidRPr="00D05731">
        <w:rPr>
          <w:i/>
          <w:iCs/>
        </w:rPr>
        <w:t>turrahât</w:t>
      </w:r>
      <w:proofErr w:type="spellEnd"/>
      <w:r w:rsidRPr="00D05731">
        <w:t xml:space="preserve">]. </w:t>
      </w:r>
    </w:p>
    <w:p w:rsidR="00D05731" w:rsidRDefault="00D05731" w:rsidP="00D05731">
      <w:pPr>
        <w:pStyle w:val="Sansinterligne"/>
      </w:pPr>
    </w:p>
    <w:p w:rsidR="00D05731" w:rsidRDefault="0031431C" w:rsidP="00D05731">
      <w:pPr>
        <w:pStyle w:val="Sansinterligne"/>
      </w:pPr>
      <w:r w:rsidRPr="00D05731">
        <w:t xml:space="preserve">Ceci étant, il y a dans la "Revivification des </w:t>
      </w:r>
      <w:proofErr w:type="gramStart"/>
      <w:r w:rsidRPr="00D05731">
        <w:t>science</w:t>
      </w:r>
      <w:proofErr w:type="gramEnd"/>
      <w:r w:rsidRPr="00D05731">
        <w:t xml:space="preserve"> religieuse" [</w:t>
      </w:r>
      <w:r w:rsidRPr="00D05731">
        <w:rPr>
          <w:i/>
          <w:iCs/>
        </w:rPr>
        <w:t>Ihyâ 'ouloûm al-Dîn</w:t>
      </w:r>
      <w:r w:rsidRPr="00D05731">
        <w:t xml:space="preserve">], comme propos des </w:t>
      </w:r>
      <w:proofErr w:type="spellStart"/>
      <w:r w:rsidRPr="00D05731">
        <w:t>S</w:t>
      </w:r>
      <w:r w:rsidR="00D05731" w:rsidRPr="00D05731">
        <w:t>h</w:t>
      </w:r>
      <w:r w:rsidRPr="00D05731">
        <w:t>eikhs</w:t>
      </w:r>
      <w:proofErr w:type="spellEnd"/>
      <w:r w:rsidRPr="00D05731">
        <w:t xml:space="preserve"> Soufis qui, concernant les </w:t>
      </w:r>
      <w:r w:rsidR="00D05731" w:rsidRPr="00D05731">
        <w:t xml:space="preserve">œuvres </w:t>
      </w:r>
      <w:r w:rsidRPr="00D05731">
        <w:t>des cœurs, s'y connaissent [</w:t>
      </w:r>
      <w:r w:rsidR="00D05731" w:rsidRPr="00D05731">
        <w:rPr>
          <w:i/>
          <w:iCs/>
        </w:rPr>
        <w:t>‘</w:t>
      </w:r>
      <w:proofErr w:type="spellStart"/>
      <w:r w:rsidRPr="00D05731">
        <w:rPr>
          <w:i/>
          <w:iCs/>
        </w:rPr>
        <w:t>ârif</w:t>
      </w:r>
      <w:proofErr w:type="spellEnd"/>
      <w:r w:rsidRPr="00D05731">
        <w:t>] et sont sur la voie droite, des choses qui sont en accord avec le Livre et Tradition [</w:t>
      </w:r>
      <w:proofErr w:type="spellStart"/>
      <w:r w:rsidRPr="00D05731">
        <w:rPr>
          <w:i/>
          <w:iCs/>
        </w:rPr>
        <w:t>sounnah</w:t>
      </w:r>
      <w:proofErr w:type="spellEnd"/>
      <w:r w:rsidRPr="00D05731">
        <w:t xml:space="preserve">]. </w:t>
      </w:r>
    </w:p>
    <w:p w:rsidR="00D05731" w:rsidRDefault="00D05731" w:rsidP="00D05731">
      <w:pPr>
        <w:pStyle w:val="Sansinterligne"/>
      </w:pPr>
    </w:p>
    <w:p w:rsidR="00D05731" w:rsidRDefault="0031431C" w:rsidP="00D05731">
      <w:pPr>
        <w:pStyle w:val="Sansinterligne"/>
      </w:pPr>
      <w:r w:rsidRPr="00D05731">
        <w:t>On y trouve également, concernant les actes d'adoration et les usages, des choses en accord avec le Livre [</w:t>
      </w:r>
      <w:proofErr w:type="spellStart"/>
      <w:r w:rsidRPr="00D05731">
        <w:rPr>
          <w:i/>
          <w:iCs/>
        </w:rPr>
        <w:t>Kitâb</w:t>
      </w:r>
      <w:proofErr w:type="spellEnd"/>
      <w:r w:rsidRPr="00D05731">
        <w:t>] et la Tradition [</w:t>
      </w:r>
      <w:proofErr w:type="spellStart"/>
      <w:r w:rsidRPr="00D05731">
        <w:rPr>
          <w:i/>
          <w:iCs/>
        </w:rPr>
        <w:t>Sounnah</w:t>
      </w:r>
      <w:proofErr w:type="spellEnd"/>
      <w:r w:rsidRPr="00D05731">
        <w:t xml:space="preserve">]. Ces choses sont plus </w:t>
      </w:r>
      <w:proofErr w:type="gramStart"/>
      <w:r w:rsidRPr="00D05731">
        <w:t>nombreuses</w:t>
      </w:r>
      <w:proofErr w:type="gramEnd"/>
      <w:r w:rsidRPr="00D05731">
        <w:t xml:space="preserve"> que celle qui sont à rejeter et c'est pourquoi les gens divergent d'avis [</w:t>
      </w:r>
      <w:proofErr w:type="spellStart"/>
      <w:r w:rsidRPr="00D05731">
        <w:rPr>
          <w:i/>
          <w:iCs/>
        </w:rPr>
        <w:t>ijtihâd</w:t>
      </w:r>
      <w:proofErr w:type="spellEnd"/>
      <w:r w:rsidRPr="00D05731">
        <w:t>] à propos de ce liv</w:t>
      </w:r>
      <w:r w:rsidR="00D05731">
        <w:t>re et controversent à son sujet</w:t>
      </w:r>
      <w:r w:rsidRPr="00D05731">
        <w:t>.</w:t>
      </w:r>
      <w:r w:rsidR="00D05731">
        <w:t> »</w:t>
      </w:r>
    </w:p>
    <w:p w:rsidR="00D05731" w:rsidRDefault="00D05731" w:rsidP="00D05731">
      <w:pPr>
        <w:pStyle w:val="Sansinterligne"/>
      </w:pPr>
    </w:p>
    <w:p w:rsidR="00D05731" w:rsidRDefault="00D05731" w:rsidP="00D05731">
      <w:pPr>
        <w:pStyle w:val="Sansinterligne"/>
      </w:pPr>
    </w:p>
    <w:p w:rsidR="0031431C" w:rsidRPr="00D05731" w:rsidRDefault="00D05731" w:rsidP="00D05731">
      <w:pPr>
        <w:pStyle w:val="Sansinterligne"/>
      </w:pPr>
      <w:r w:rsidRPr="00D05731">
        <w:rPr>
          <w:b/>
          <w:bCs/>
          <w:u w:val="single"/>
        </w:rPr>
        <w:t>Source</w:t>
      </w:r>
      <w:r>
        <w:t xml:space="preserve"> : </w:t>
      </w:r>
      <w:proofErr w:type="spellStart"/>
      <w:r w:rsidR="0031431C" w:rsidRPr="00D05731">
        <w:t>Madjmu</w:t>
      </w:r>
      <w:proofErr w:type="spellEnd"/>
      <w:r>
        <w:t>‘</w:t>
      </w:r>
      <w:r w:rsidR="0031431C" w:rsidRPr="00D05731">
        <w:t xml:space="preserve"> al-</w:t>
      </w:r>
      <w:proofErr w:type="spellStart"/>
      <w:r w:rsidR="0031431C" w:rsidRPr="00D05731">
        <w:t>Fatâwa</w:t>
      </w:r>
      <w:proofErr w:type="spellEnd"/>
      <w:r>
        <w:t>, tome</w:t>
      </w:r>
      <w:r w:rsidR="0031431C" w:rsidRPr="00D05731">
        <w:t xml:space="preserve"> 10</w:t>
      </w:r>
      <w:r>
        <w:t xml:space="preserve">, page </w:t>
      </w:r>
      <w:r w:rsidR="0031431C" w:rsidRPr="00D05731">
        <w:t>312</w:t>
      </w:r>
      <w:r>
        <w:t>.</w:t>
      </w:r>
    </w:p>
    <w:p w:rsidR="0031431C" w:rsidRDefault="0031431C"/>
    <w:sectPr w:rsidR="0031431C" w:rsidSect="000E37DB">
      <w:footerReference w:type="default" r:id="rId9"/>
      <w:pgSz w:w="11906" w:h="16838" w:code="9"/>
      <w:pgMar w:top="1417" w:right="1417" w:bottom="1417" w:left="141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C0E" w:rsidRDefault="00A87C0E" w:rsidP="0031431C">
      <w:r>
        <w:separator/>
      </w:r>
    </w:p>
  </w:endnote>
  <w:endnote w:type="continuationSeparator" w:id="0">
    <w:p w:rsidR="00A87C0E" w:rsidRDefault="00A87C0E" w:rsidP="003143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1C" w:rsidRPr="00B2351B" w:rsidRDefault="0031431C" w:rsidP="0031431C">
    <w:pPr>
      <w:pStyle w:val="Pieddepage"/>
      <w:jc w:val="center"/>
      <w:rPr>
        <w:rFonts w:asciiTheme="majorBidi" w:hAnsiTheme="majorBidi" w:cstheme="majorBidi"/>
        <w:b/>
        <w:bCs/>
        <w:color w:val="262626" w:themeColor="text1" w:themeTint="D9"/>
        <w:sz w:val="26"/>
        <w:szCs w:val="26"/>
      </w:rPr>
    </w:pPr>
    <w:r>
      <w:rPr>
        <w:rFonts w:asciiTheme="majorBidi" w:hAnsiTheme="majorBidi" w:cstheme="majorBidi"/>
        <w:b/>
        <w:bCs/>
        <w:noProof/>
        <w:color w:val="262626" w:themeColor="text1" w:themeTint="D9"/>
        <w:sz w:val="26"/>
        <w:szCs w:val="26"/>
        <w:lang w:eastAsia="zh-TW"/>
      </w:rPr>
      <w:pict>
        <v:shapetype id="_x0000_t185" coordsize="21600,21600" o:spt="185" adj="3600" path="m@0,nfqx0@0l0@2qy@0,21600em@1,nfqx21600@0l21600@2qy@1,21600em@0,nsqx0@0l0@2qy@0,21600l@1,21600qx21600@2l21600@0qy@1,xe" filled="f">
          <v:formulas>
            <v:f eqn="val #0"/>
            <v:f eqn="sum width 0 #0"/>
            <v:f eqn="sum height 0 #0"/>
            <v:f eqn="prod @0 2929 10000"/>
            <v:f eqn="sum width 0 @3"/>
            <v:f eqn="sum height 0 @3"/>
            <v:f eqn="val width"/>
            <v:f eqn="val height"/>
            <v:f eqn="prod width 1 2"/>
            <v:f eqn="prod height 1 2"/>
          </v:formulas>
          <v:path o:extrusionok="f" gradientshapeok="t" limo="10800,10800" o:connecttype="custom" o:connectlocs="@8,0;0,@9;@8,@7;@6,@9" textboxrect="@3,@3,@4,@5"/>
          <v:handles>
            <v:h position="#0,topLeft" switch="" xrange="0,10800"/>
          </v:handles>
        </v:shapetype>
        <v:shape id="_x0000_s1025" type="#_x0000_t185" style="position:absolute;left:0;text-align:left;margin-left:204.15pt;margin-top:26.35pt;width:45.35pt;height:48.2pt;z-index:251658240;mso-position-horizontal-relative:margin;mso-position-vertical-relative:bottom-margin-area;mso-width-relative:margin;mso-height-relative:bottom-margin-area" filled="t" fillcolor="#bcbcbc [2369]" stroked="f" strokeweight="0">
          <v:fill color2="black [3200]" focusposition=".5,.5" focussize="" focus="100%" type="gradientRadial"/>
          <v:shadow on="t" type="perspective" color="#7f7f7f [1601]" offset="1pt" offset2="-3pt"/>
          <v:textbox style="mso-next-textbox:#_x0000_s1025" inset=",0,,0">
            <w:txbxContent>
              <w:p w:rsidR="0031431C" w:rsidRPr="004204E1" w:rsidRDefault="0031431C" w:rsidP="0031431C">
                <w:pPr>
                  <w:jc w:val="center"/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</w:pPr>
                <w:r w:rsidRPr="004204E1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Pr="004204E1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instrText xml:space="preserve"> PAGE    \* MERGEFORMAT </w:instrText>
                </w:r>
                <w:r w:rsidRPr="004204E1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ED40D4">
                  <w:rPr>
                    <w:b/>
                    <w:bCs/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 w:rsidRPr="004204E1">
                  <w:rPr>
                    <w:b/>
                    <w:bCs/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  <w:hyperlink r:id="rId1" w:history="1">
      <w:r w:rsidRPr="00B2351B">
        <w:rPr>
          <w:rStyle w:val="Lienhypertexte"/>
          <w:rFonts w:asciiTheme="majorBidi" w:hAnsiTheme="majorBidi" w:cstheme="majorBidi"/>
          <w:b/>
          <w:bCs/>
          <w:color w:val="262626" w:themeColor="text1" w:themeTint="D9"/>
          <w:sz w:val="26"/>
          <w:szCs w:val="26"/>
        </w:rPr>
        <w:t>http://bibliotheque-islamique-coran-sunna.over-blog.com/</w:t>
      </w:r>
    </w:hyperlink>
  </w:p>
  <w:p w:rsidR="0031431C" w:rsidRDefault="0031431C" w:rsidP="0031431C">
    <w:pPr>
      <w:pStyle w:val="Pieddepage"/>
      <w:tabs>
        <w:tab w:val="clear" w:pos="4536"/>
        <w:tab w:val="clear" w:pos="9072"/>
        <w:tab w:val="left" w:pos="5533"/>
      </w:tabs>
    </w:pPr>
    <w:r>
      <w:tab/>
    </w:r>
  </w:p>
  <w:p w:rsidR="0031431C" w:rsidRDefault="0031431C" w:rsidP="0031431C">
    <w:pPr>
      <w:pStyle w:val="Pieddepage"/>
    </w:pPr>
  </w:p>
  <w:p w:rsidR="0031431C" w:rsidRDefault="0031431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C0E" w:rsidRDefault="00A87C0E" w:rsidP="0031431C">
      <w:r>
        <w:separator/>
      </w:r>
    </w:p>
  </w:footnote>
  <w:footnote w:type="continuationSeparator" w:id="0">
    <w:p w:rsidR="00A87C0E" w:rsidRDefault="00A87C0E" w:rsidP="003143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31431C"/>
    <w:rsid w:val="00027B22"/>
    <w:rsid w:val="00044B3B"/>
    <w:rsid w:val="000C0174"/>
    <w:rsid w:val="000E37DB"/>
    <w:rsid w:val="001044C0"/>
    <w:rsid w:val="00107DEC"/>
    <w:rsid w:val="00152159"/>
    <w:rsid w:val="00155319"/>
    <w:rsid w:val="001C28F7"/>
    <w:rsid w:val="00244602"/>
    <w:rsid w:val="00280909"/>
    <w:rsid w:val="002852C3"/>
    <w:rsid w:val="00300C8F"/>
    <w:rsid w:val="0031431C"/>
    <w:rsid w:val="00376300"/>
    <w:rsid w:val="00391F2C"/>
    <w:rsid w:val="003C1DFB"/>
    <w:rsid w:val="003C21F7"/>
    <w:rsid w:val="003D3DCC"/>
    <w:rsid w:val="00401A2D"/>
    <w:rsid w:val="00463B17"/>
    <w:rsid w:val="004B08AB"/>
    <w:rsid w:val="00574E95"/>
    <w:rsid w:val="00576D00"/>
    <w:rsid w:val="00584A92"/>
    <w:rsid w:val="005C627F"/>
    <w:rsid w:val="005D4304"/>
    <w:rsid w:val="005F2C01"/>
    <w:rsid w:val="00610866"/>
    <w:rsid w:val="00616207"/>
    <w:rsid w:val="0067161B"/>
    <w:rsid w:val="00702CE1"/>
    <w:rsid w:val="00704369"/>
    <w:rsid w:val="00741238"/>
    <w:rsid w:val="00762C54"/>
    <w:rsid w:val="00764046"/>
    <w:rsid w:val="0079737A"/>
    <w:rsid w:val="007A55E2"/>
    <w:rsid w:val="007F5F17"/>
    <w:rsid w:val="008514F4"/>
    <w:rsid w:val="008C115B"/>
    <w:rsid w:val="00915D23"/>
    <w:rsid w:val="00932B9E"/>
    <w:rsid w:val="00937064"/>
    <w:rsid w:val="009912A1"/>
    <w:rsid w:val="00994B1C"/>
    <w:rsid w:val="009965BA"/>
    <w:rsid w:val="009A61DA"/>
    <w:rsid w:val="00A87C0E"/>
    <w:rsid w:val="00B1200F"/>
    <w:rsid w:val="00B51E11"/>
    <w:rsid w:val="00BB0B50"/>
    <w:rsid w:val="00BC5073"/>
    <w:rsid w:val="00BD7CC8"/>
    <w:rsid w:val="00C53C52"/>
    <w:rsid w:val="00C56B86"/>
    <w:rsid w:val="00CD4EBD"/>
    <w:rsid w:val="00D05731"/>
    <w:rsid w:val="00D15EBD"/>
    <w:rsid w:val="00DD202E"/>
    <w:rsid w:val="00ED292B"/>
    <w:rsid w:val="00ED40D4"/>
    <w:rsid w:val="00ED5324"/>
    <w:rsid w:val="00EE3A29"/>
    <w:rsid w:val="00F15898"/>
    <w:rsid w:val="00FD114A"/>
    <w:rsid w:val="00FD2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D00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5D430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5D430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D43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ccentuation">
    <w:name w:val="Emphasis"/>
    <w:basedOn w:val="Policepardfaut"/>
    <w:qFormat/>
    <w:rsid w:val="00576D00"/>
    <w:rPr>
      <w:i/>
      <w:iCs/>
    </w:rPr>
  </w:style>
  <w:style w:type="paragraph" w:styleId="Sansinterligne">
    <w:name w:val="No Spacing"/>
    <w:link w:val="SansinterligneCar"/>
    <w:uiPriority w:val="1"/>
    <w:qFormat/>
    <w:rsid w:val="00027B22"/>
    <w:rPr>
      <w:rFonts w:eastAsiaTheme="minorHAnsi" w:cstheme="minorBidi"/>
      <w:sz w:val="24"/>
      <w:szCs w:val="22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5D43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lev">
    <w:name w:val="Strong"/>
    <w:basedOn w:val="Policepardfaut"/>
    <w:qFormat/>
    <w:rsid w:val="00576D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1431C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semiHidden/>
    <w:unhideWhenUsed/>
    <w:rsid w:val="003143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31431C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3143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1431C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31431C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0E37DB"/>
    <w:rPr>
      <w:rFonts w:eastAsiaTheme="minorHAnsi" w:cstheme="minorBidi"/>
      <w:sz w:val="24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E37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7D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057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05731"/>
  </w:style>
  <w:style w:type="character" w:styleId="Appelnotedebasdep">
    <w:name w:val="footnote reference"/>
    <w:basedOn w:val="Policepardfaut"/>
    <w:uiPriority w:val="99"/>
    <w:semiHidden/>
    <w:unhideWhenUsed/>
    <w:rsid w:val="00D0573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ibliotheque-islamique-coran-sunna.over-blog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0C66F-D43F-4F19-B2E3-0B1A6E62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3</cp:revision>
  <cp:lastPrinted>2011-05-27T15:39:00Z</cp:lastPrinted>
  <dcterms:created xsi:type="dcterms:W3CDTF">2011-05-27T12:01:00Z</dcterms:created>
  <dcterms:modified xsi:type="dcterms:W3CDTF">2011-05-27T15:39:00Z</dcterms:modified>
</cp:coreProperties>
</file>