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09" w:rsidRDefault="003A1B09" w:rsidP="003A1B09"/>
    <w:p w:rsidR="003A1B09" w:rsidRDefault="003A1B09" w:rsidP="003A1B09"/>
    <w:p w:rsidR="003A1B09" w:rsidRDefault="003A1B09" w:rsidP="003A1B09"/>
    <w:p w:rsidR="003A1B09" w:rsidRDefault="003A1B09" w:rsidP="003A1B09"/>
    <w:p w:rsidR="003A1B09" w:rsidRDefault="003A1B09" w:rsidP="003A1B09"/>
    <w:p w:rsidR="003A1B09" w:rsidRDefault="003A1B09" w:rsidP="003A1B09"/>
    <w:p w:rsidR="003A1B09" w:rsidRDefault="003A1B09" w:rsidP="003A1B09"/>
    <w:p w:rsidR="003A1B09" w:rsidRDefault="003A1B09" w:rsidP="003A1B09"/>
    <w:p w:rsidR="003A1B09" w:rsidRDefault="003A1B09" w:rsidP="003A1B09"/>
    <w:p w:rsidR="003A1B09" w:rsidRDefault="003A1B09" w:rsidP="003A1B09"/>
    <w:p w:rsidR="003A1B09" w:rsidRDefault="003A1B09" w:rsidP="003A1B09"/>
    <w:p w:rsidR="003A1B09" w:rsidRDefault="003A1B09" w:rsidP="003A1B09"/>
    <w:p w:rsidR="003A1B09" w:rsidRDefault="003A1B09" w:rsidP="003A1B09"/>
    <w:p w:rsidR="003A1B09" w:rsidRDefault="003A1B09" w:rsidP="003A1B09"/>
    <w:p w:rsidR="003A1B09" w:rsidRDefault="003A1B09" w:rsidP="003A1B09"/>
    <w:p w:rsidR="003A1B09" w:rsidRDefault="003A1B09" w:rsidP="003A1B09"/>
    <w:p w:rsidR="003A1B09" w:rsidRDefault="003A1B09" w:rsidP="003A1B09"/>
    <w:p w:rsidR="003A1B09" w:rsidRPr="00CE66F6" w:rsidRDefault="003A1B09" w:rsidP="003A1B09">
      <w:pPr>
        <w:rPr>
          <w:rFonts w:asciiTheme="majorBidi" w:hAnsiTheme="majorBidi" w:cstheme="majorBidi"/>
        </w:rPr>
      </w:pPr>
    </w:p>
    <w:p w:rsidR="003A1B09" w:rsidRDefault="003A1B09" w:rsidP="003A1B09">
      <w:pPr>
        <w:jc w:val="right"/>
        <w:rPr>
          <w:color w:val="7F7F7F"/>
          <w:sz w:val="32"/>
          <w:szCs w:val="32"/>
        </w:rPr>
      </w:pPr>
      <w:r w:rsidRPr="004821B8">
        <w:rPr>
          <w:noProof/>
          <w:color w:val="C4BC96"/>
          <w:sz w:val="32"/>
          <w:szCs w:val="32"/>
          <w:lang w:eastAsia="en-US"/>
        </w:rPr>
        <w:pict>
          <v:group id="_x0000_s1026" style="position:absolute;left:0;text-align:left;margin-left:0;margin-top:0;width:610.2pt;height:790.2pt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3A1B09" w:rsidRPr="00D10DD1" w:rsidTr="00034E49">
        <w:tc>
          <w:tcPr>
            <w:tcW w:w="9576" w:type="dxa"/>
          </w:tcPr>
          <w:p w:rsidR="003A1B09" w:rsidRDefault="003A1B09" w:rsidP="00034E4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3A1B09" w:rsidRDefault="003A1B09" w:rsidP="00034E4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3A1B09" w:rsidRPr="00D10DD1" w:rsidRDefault="003A1B09" w:rsidP="00034E4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</w:pPr>
            <w:r w:rsidRPr="00D10DD1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Par l’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I</w:t>
            </w:r>
            <w:r w:rsidRPr="00D10DD1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â</w:t>
            </w:r>
            <w:r w:rsidRPr="00D10DD1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m Ibn Jarîr At-Tabar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î</w:t>
            </w:r>
          </w:p>
        </w:tc>
      </w:tr>
    </w:tbl>
    <w:p w:rsidR="003A1B09" w:rsidRPr="00D10DD1" w:rsidRDefault="003A1B09" w:rsidP="003A1B09">
      <w:pPr>
        <w:jc w:val="right"/>
        <w:rPr>
          <w:color w:val="7F7F7F"/>
          <w:sz w:val="32"/>
          <w:szCs w:val="32"/>
          <w:lang w:val="en-US"/>
        </w:rPr>
      </w:pPr>
    </w:p>
    <w:p w:rsidR="003A1B09" w:rsidRPr="00D10DD1" w:rsidRDefault="003A1B09" w:rsidP="003A1B09">
      <w:pPr>
        <w:rPr>
          <w:lang w:val="en-US"/>
        </w:rPr>
      </w:pPr>
      <w:r w:rsidRPr="004821B8">
        <w:rPr>
          <w:noProof/>
          <w:color w:val="C4BC96"/>
          <w:sz w:val="32"/>
          <w:szCs w:val="32"/>
          <w:lang w:eastAsia="en-US"/>
        </w:rPr>
        <w:pict>
          <v:rect id="_x0000_s1029" style="position:absolute;margin-left:0;margin-top:0;width:535.65pt;height:76.6pt;z-index:251661312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29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69"/>
                  </w:tblGrid>
                  <w:tr w:rsidR="003A1B09" w:rsidRPr="00344919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3A1B09" w:rsidRPr="00344919" w:rsidRDefault="003A1B09" w:rsidP="00CB7712">
                        <w:pPr>
                          <w:jc w:val="center"/>
                          <w:rPr>
                            <w:smallCaps/>
                            <w:sz w:val="48"/>
                            <w:szCs w:val="48"/>
                          </w:rPr>
                        </w:pPr>
                        <w:r w:rsidRPr="00344919">
                          <w:rPr>
                            <w:smallCaps/>
                            <w:noProof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2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3A1B09" w:rsidRPr="003A1B09" w:rsidRDefault="003A1B09" w:rsidP="003A1B09">
                        <w:pPr>
                          <w:pStyle w:val="Sansinterligne"/>
                          <w:rPr>
                            <w:rFonts w:asciiTheme="majorBidi" w:hAnsiTheme="majorBidi" w:cstheme="majorBidi"/>
                            <w:sz w:val="44"/>
                            <w:szCs w:val="44"/>
                          </w:rPr>
                        </w:pPr>
                        <w:r w:rsidRPr="003A1B09">
                          <w:rPr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>Définitions de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 xml:space="preserve"> </w:t>
                        </w:r>
                        <w:r w:rsidRPr="003A1B09">
                          <w:rPr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 xml:space="preserve">Al-Ghayb </w:t>
                        </w:r>
                        <w:r w:rsidRPr="003A1B09">
                          <w:rPr>
                            <w:rStyle w:val="Accentuation"/>
                            <w:rFonts w:asciiTheme="majorBidi" w:hAnsiTheme="majorBidi" w:cstheme="majorBidi"/>
                            <w:b/>
                            <w:bCs/>
                            <w:i w:val="0"/>
                            <w:iCs w:val="0"/>
                            <w:color w:val="FFFFFF" w:themeColor="background1"/>
                            <w:sz w:val="44"/>
                            <w:szCs w:val="44"/>
                          </w:rPr>
                          <w:t>Le mystère, le caché, l'invisible, le non-apparent</w:t>
                        </w:r>
                      </w:p>
                    </w:tc>
                  </w:tr>
                </w:tbl>
                <w:p w:rsidR="003A1B09" w:rsidRPr="00344919" w:rsidRDefault="003A1B09" w:rsidP="003A1B09">
                  <w:pPr>
                    <w:pStyle w:val="Sansinterligne"/>
                    <w:spacing w:line="14" w:lineRule="exact"/>
                    <w:rPr>
                      <w:sz w:val="48"/>
                      <w:szCs w:val="48"/>
                    </w:rPr>
                  </w:pPr>
                </w:p>
              </w:txbxContent>
            </v:textbox>
            <w10:wrap anchorx="page" anchory="page"/>
          </v:rect>
        </w:pict>
      </w:r>
      <w:r w:rsidRPr="00D10DD1">
        <w:rPr>
          <w:lang w:val="en-US"/>
        </w:rPr>
        <w:br w:type="page"/>
      </w:r>
    </w:p>
    <w:p w:rsidR="003A1B09" w:rsidRPr="005C3EFC" w:rsidRDefault="003A1B09" w:rsidP="003A1B09">
      <w:pPr>
        <w:pStyle w:val="Sansinterligne"/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noProof/>
          <w:szCs w:val="24"/>
          <w:lang w:eastAsia="fr-FR"/>
        </w:rPr>
        <w:lastRenderedPageBreak/>
        <w:drawing>
          <wp:inline distT="0" distB="0" distL="0" distR="0">
            <wp:extent cx="2533650" cy="2667000"/>
            <wp:effectExtent l="19050" t="0" r="0" b="0"/>
            <wp:docPr id="1" name="Image 0" descr="bismil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a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B09" w:rsidRDefault="003A1B09" w:rsidP="003A1B09">
      <w:pPr>
        <w:pStyle w:val="Sansinterligne"/>
      </w:pPr>
    </w:p>
    <w:p w:rsidR="00575BFE" w:rsidRDefault="00575BFE" w:rsidP="00575BFE">
      <w:pPr>
        <w:pStyle w:val="Sansinterligne"/>
      </w:pPr>
      <w:r w:rsidRPr="005C3EFC">
        <w:rPr>
          <w:rStyle w:val="Accentuation"/>
          <w:rFonts w:asciiTheme="majorBidi" w:hAnsiTheme="majorBidi" w:cstheme="majorBidi"/>
          <w:i w:val="0"/>
          <w:iCs w:val="0"/>
          <w:szCs w:val="24"/>
        </w:rPr>
        <w:t>Le mot « </w:t>
      </w:r>
      <w:proofErr w:type="spellStart"/>
      <w:r w:rsidRPr="00575BFE">
        <w:rPr>
          <w:rStyle w:val="Accentuation"/>
          <w:rFonts w:asciiTheme="majorBidi" w:hAnsiTheme="majorBidi" w:cstheme="majorBidi"/>
          <w:b/>
          <w:bCs/>
          <w:i w:val="0"/>
          <w:iCs w:val="0"/>
          <w:szCs w:val="24"/>
        </w:rPr>
        <w:t>ghayb</w:t>
      </w:r>
      <w:proofErr w:type="spellEnd"/>
      <w:r w:rsidRPr="005C3EFC">
        <w:rPr>
          <w:rStyle w:val="Accentuation"/>
          <w:rFonts w:asciiTheme="majorBidi" w:hAnsiTheme="majorBidi" w:cstheme="majorBidi"/>
          <w:i w:val="0"/>
          <w:iCs w:val="0"/>
          <w:szCs w:val="24"/>
        </w:rPr>
        <w:t> » a pour racine le verbe « </w:t>
      </w:r>
      <w:proofErr w:type="spellStart"/>
      <w:r w:rsidRPr="00575BFE">
        <w:rPr>
          <w:rStyle w:val="Accentuation"/>
          <w:rFonts w:asciiTheme="majorBidi" w:hAnsiTheme="majorBidi" w:cstheme="majorBidi"/>
          <w:szCs w:val="24"/>
        </w:rPr>
        <w:t>ghâba</w:t>
      </w:r>
      <w:proofErr w:type="spellEnd"/>
      <w:r w:rsidRPr="005C3EFC">
        <w:rPr>
          <w:rStyle w:val="Accentuation"/>
          <w:rFonts w:asciiTheme="majorBidi" w:hAnsiTheme="majorBidi" w:cstheme="majorBidi"/>
          <w:i w:val="0"/>
          <w:iCs w:val="0"/>
          <w:szCs w:val="24"/>
        </w:rPr>
        <w:t> » qui signifie « ne pas être là », « s'absenter » [d'où la notion d'invisible, d'imperceptible par les sens et c'est pourquoi le mot « </w:t>
      </w:r>
      <w:proofErr w:type="spellStart"/>
      <w:r w:rsidRPr="005C3EFC">
        <w:rPr>
          <w:rStyle w:val="Accentuation"/>
          <w:rFonts w:asciiTheme="majorBidi" w:hAnsiTheme="majorBidi" w:cstheme="majorBidi"/>
          <w:i w:val="0"/>
          <w:iCs w:val="0"/>
          <w:szCs w:val="24"/>
        </w:rPr>
        <w:t>ghayb</w:t>
      </w:r>
      <w:proofErr w:type="spellEnd"/>
      <w:r w:rsidRPr="005C3EFC">
        <w:rPr>
          <w:rStyle w:val="Accentuation"/>
          <w:rFonts w:asciiTheme="majorBidi" w:hAnsiTheme="majorBidi" w:cstheme="majorBidi"/>
          <w:i w:val="0"/>
          <w:iCs w:val="0"/>
          <w:szCs w:val="24"/>
        </w:rPr>
        <w:t> » désigne les réalités d'ordre suprasensible du monde subtil, du monde informel ou du monde divin]. »</w:t>
      </w:r>
      <w:r w:rsidRPr="005C3EFC">
        <w:t xml:space="preserve"> </w:t>
      </w:r>
    </w:p>
    <w:p w:rsidR="00575BFE" w:rsidRDefault="00575BFE" w:rsidP="00575BFE">
      <w:pPr>
        <w:pStyle w:val="Sansinterligne"/>
      </w:pPr>
    </w:p>
    <w:p w:rsidR="00575BFE" w:rsidRPr="00575BFE" w:rsidRDefault="00575BFE" w:rsidP="00575BFE">
      <w:pPr>
        <w:pStyle w:val="Sansinterligne"/>
        <w:rPr>
          <w:b/>
          <w:bCs/>
        </w:rPr>
      </w:pPr>
      <w:r w:rsidRPr="00575BFE">
        <w:rPr>
          <w:b/>
          <w:bCs/>
        </w:rPr>
        <w:t>[...]</w:t>
      </w:r>
    </w:p>
    <w:p w:rsidR="00575BFE" w:rsidRPr="005C3EFC" w:rsidRDefault="00575BFE" w:rsidP="00575BFE">
      <w:pPr>
        <w:pStyle w:val="Sansinterligne"/>
      </w:pPr>
    </w:p>
    <w:p w:rsidR="00575BFE" w:rsidRDefault="003A1B09" w:rsidP="00575BFE">
      <w:pPr>
        <w:pStyle w:val="Sansinterligne"/>
        <w:jc w:val="both"/>
      </w:pPr>
      <w:r w:rsidRPr="005C3EFC">
        <w:t>Tout ce qui relève de la foi selon le sens qui a été donné au mot « </w:t>
      </w:r>
      <w:proofErr w:type="spellStart"/>
      <w:r w:rsidR="00575BFE" w:rsidRPr="00575BFE">
        <w:rPr>
          <w:b/>
          <w:bCs/>
        </w:rPr>
        <w:fldChar w:fldCharType="begin"/>
      </w:r>
      <w:r w:rsidR="00575BFE" w:rsidRPr="00575BFE">
        <w:rPr>
          <w:b/>
          <w:bCs/>
        </w:rPr>
        <w:instrText xml:space="preserve"> HYPERLINK "http://bibliotheque-islamique-coran-sunna.over-blog.com/article-telecharger-la-definition-du-mot-foi-iman-par-l-imam-ibn-jarir-at-tabari-pdf-word-doc-75419817.html" </w:instrText>
      </w:r>
      <w:r w:rsidR="00575BFE" w:rsidRPr="00575BFE">
        <w:rPr>
          <w:b/>
          <w:bCs/>
        </w:rPr>
      </w:r>
      <w:r w:rsidR="00575BFE" w:rsidRPr="00575BFE">
        <w:rPr>
          <w:b/>
          <w:bCs/>
        </w:rPr>
        <w:fldChar w:fldCharType="separate"/>
      </w:r>
      <w:r w:rsidRPr="00575BFE">
        <w:rPr>
          <w:rStyle w:val="Lienhypertexte"/>
          <w:b/>
          <w:bCs/>
        </w:rPr>
        <w:t>Îmân</w:t>
      </w:r>
      <w:proofErr w:type="spellEnd"/>
      <w:r w:rsidR="00575BFE" w:rsidRPr="00575BFE">
        <w:rPr>
          <w:b/>
          <w:bCs/>
        </w:rPr>
        <w:fldChar w:fldCharType="end"/>
      </w:r>
      <w:r w:rsidRPr="005C3EFC">
        <w:t> »</w:t>
      </w:r>
      <w:r>
        <w:rPr>
          <w:rStyle w:val="Appelnotedebasdep"/>
        </w:rPr>
        <w:footnoteReference w:id="1"/>
      </w:r>
      <w:r w:rsidRPr="005C3EFC">
        <w:t xml:space="preserve"> est « </w:t>
      </w:r>
      <w:r w:rsidRPr="00575BFE">
        <w:rPr>
          <w:b/>
          <w:bCs/>
        </w:rPr>
        <w:t xml:space="preserve">al </w:t>
      </w:r>
      <w:proofErr w:type="spellStart"/>
      <w:r w:rsidRPr="00575BFE">
        <w:rPr>
          <w:b/>
          <w:bCs/>
        </w:rPr>
        <w:t>ghayb</w:t>
      </w:r>
      <w:proofErr w:type="spellEnd"/>
      <w:r w:rsidRPr="005C3EFC">
        <w:t xml:space="preserve"> ». </w:t>
      </w:r>
    </w:p>
    <w:p w:rsidR="00575BFE" w:rsidRDefault="00575BFE" w:rsidP="00575BFE">
      <w:pPr>
        <w:pStyle w:val="Sansinterligne"/>
        <w:jc w:val="both"/>
      </w:pPr>
    </w:p>
    <w:p w:rsidR="00575BFE" w:rsidRDefault="003A1B09" w:rsidP="00575BFE">
      <w:pPr>
        <w:pStyle w:val="Sansinterligne"/>
        <w:jc w:val="both"/>
      </w:pPr>
      <w:r w:rsidRPr="005C3EFC">
        <w:t>Lorsqu'</w:t>
      </w:r>
      <w:proofErr w:type="spellStart"/>
      <w:r w:rsidRPr="005C3EFC">
        <w:t>Allâh</w:t>
      </w:r>
      <w:proofErr w:type="spellEnd"/>
      <w:r w:rsidRPr="005C3EFC">
        <w:t xml:space="preserve"> dit : </w:t>
      </w:r>
    </w:p>
    <w:p w:rsidR="00575BFE" w:rsidRDefault="00575BFE" w:rsidP="00575BFE">
      <w:pPr>
        <w:pStyle w:val="Sansinterligne"/>
        <w:jc w:val="both"/>
      </w:pPr>
    </w:p>
    <w:p w:rsidR="00575BFE" w:rsidRDefault="003A1B09" w:rsidP="00575BFE">
      <w:pPr>
        <w:pStyle w:val="Sansinterligne"/>
        <w:jc w:val="center"/>
      </w:pPr>
      <w:r w:rsidRPr="005C3EFC">
        <w:rPr>
          <w:rStyle w:val="Accentuation"/>
          <w:rFonts w:asciiTheme="majorBidi" w:hAnsiTheme="majorBidi" w:cstheme="majorBidi"/>
          <w:i w:val="0"/>
          <w:iCs w:val="0"/>
          <w:szCs w:val="24"/>
        </w:rPr>
        <w:t>« </w:t>
      </w:r>
      <w:r w:rsidRPr="00575BFE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  <w:szCs w:val="24"/>
        </w:rPr>
        <w:t>Ceux qui croit au Mystère</w:t>
      </w:r>
      <w:r w:rsidRPr="005C3EFC">
        <w:rPr>
          <w:rStyle w:val="Accentuation"/>
          <w:rFonts w:asciiTheme="majorBidi" w:hAnsiTheme="majorBidi" w:cstheme="majorBidi"/>
          <w:i w:val="0"/>
          <w:iCs w:val="0"/>
          <w:szCs w:val="24"/>
        </w:rPr>
        <w:t> »</w:t>
      </w:r>
    </w:p>
    <w:p w:rsidR="00575BFE" w:rsidRDefault="003A1B09" w:rsidP="00575BFE">
      <w:pPr>
        <w:pStyle w:val="Sansinterligne"/>
        <w:jc w:val="center"/>
      </w:pPr>
      <w:r w:rsidRPr="005C3EFC">
        <w:t>[S</w:t>
      </w:r>
      <w:r w:rsidR="00575BFE">
        <w:t>ourate</w:t>
      </w:r>
      <w:r w:rsidRPr="005C3EFC">
        <w:t xml:space="preserve"> 2</w:t>
      </w:r>
      <w:r w:rsidR="00575BFE">
        <w:t>, verset</w:t>
      </w:r>
      <w:r w:rsidRPr="005C3EFC">
        <w:t xml:space="preserve"> 3]</w:t>
      </w:r>
      <w:r w:rsidR="00575BFE">
        <w:t>.</w:t>
      </w:r>
    </w:p>
    <w:p w:rsidR="00575BFE" w:rsidRDefault="00575BFE" w:rsidP="00575BFE">
      <w:pPr>
        <w:pStyle w:val="Sansinterligne"/>
        <w:jc w:val="both"/>
      </w:pPr>
    </w:p>
    <w:p w:rsidR="003A1B09" w:rsidRPr="005C3EFC" w:rsidRDefault="003A1B09" w:rsidP="00575BFE">
      <w:pPr>
        <w:pStyle w:val="Sansinterligne"/>
        <w:jc w:val="both"/>
      </w:pPr>
      <w:r w:rsidRPr="005C3EFC">
        <w:t xml:space="preserve">Il décrit donc les croyants et leur foi selon les termes les plus généraux sans faire prévaloir un aspect sur un autre : </w:t>
      </w:r>
    </w:p>
    <w:p w:rsidR="003A1B09" w:rsidRPr="005C3EFC" w:rsidRDefault="003A1B09" w:rsidP="003A1B09">
      <w:pPr>
        <w:pStyle w:val="Sansinterligne"/>
      </w:pPr>
      <w:r w:rsidRPr="005C3EFC">
        <w:t xml:space="preserve">  </w:t>
      </w:r>
    </w:p>
    <w:p w:rsidR="003A1B09" w:rsidRPr="005C3EFC" w:rsidRDefault="003A1B09" w:rsidP="00575BFE">
      <w:pPr>
        <w:pStyle w:val="Sansinterligne"/>
        <w:numPr>
          <w:ilvl w:val="0"/>
          <w:numId w:val="1"/>
        </w:numPr>
      </w:pPr>
      <w:r w:rsidRPr="005C3EFC">
        <w:t xml:space="preserve">Les termes </w:t>
      </w:r>
      <w:r w:rsidRPr="005C3EFC">
        <w:rPr>
          <w:rStyle w:val="Accentuation"/>
          <w:rFonts w:asciiTheme="majorBidi" w:hAnsiTheme="majorBidi" w:cstheme="majorBidi"/>
          <w:i w:val="0"/>
          <w:iCs w:val="0"/>
          <w:szCs w:val="24"/>
        </w:rPr>
        <w:t>« </w:t>
      </w:r>
      <w:r w:rsidRPr="00575BFE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  <w:szCs w:val="24"/>
        </w:rPr>
        <w:t>Ceux qui croit</w:t>
      </w:r>
      <w:r w:rsidRPr="005C3EFC">
        <w:rPr>
          <w:rStyle w:val="Accentuation"/>
          <w:rFonts w:asciiTheme="majorBidi" w:hAnsiTheme="majorBidi" w:cstheme="majorBidi"/>
          <w:i w:val="0"/>
          <w:iCs w:val="0"/>
          <w:szCs w:val="24"/>
        </w:rPr>
        <w:t> »</w:t>
      </w:r>
      <w:r w:rsidRPr="005C3EFC">
        <w:t xml:space="preserve"> impliquent tous les aspects de la foi (</w:t>
      </w:r>
      <w:r w:rsidRPr="00575BFE">
        <w:rPr>
          <w:i/>
          <w:iCs/>
        </w:rPr>
        <w:t xml:space="preserve">al </w:t>
      </w:r>
      <w:proofErr w:type="spellStart"/>
      <w:r w:rsidRPr="00575BFE">
        <w:rPr>
          <w:i/>
          <w:iCs/>
        </w:rPr>
        <w:t>imân</w:t>
      </w:r>
      <w:proofErr w:type="spellEnd"/>
      <w:r w:rsidRPr="005C3EFC">
        <w:t xml:space="preserve">) en paroles, en convictions et en actes. </w:t>
      </w:r>
    </w:p>
    <w:p w:rsidR="00575BFE" w:rsidRDefault="00575BFE" w:rsidP="003A1B09">
      <w:pPr>
        <w:pStyle w:val="Sansinterligne"/>
      </w:pPr>
    </w:p>
    <w:p w:rsidR="003A1B09" w:rsidRDefault="003A1B09" w:rsidP="00575BFE">
      <w:pPr>
        <w:pStyle w:val="Sansinterligne"/>
        <w:numPr>
          <w:ilvl w:val="0"/>
          <w:numId w:val="1"/>
        </w:numPr>
      </w:pPr>
      <w:r w:rsidRPr="005C3EFC">
        <w:t xml:space="preserve">Le terme </w:t>
      </w:r>
      <w:r w:rsidRPr="005C3EFC">
        <w:rPr>
          <w:rStyle w:val="Accentuation"/>
          <w:rFonts w:asciiTheme="majorBidi" w:hAnsiTheme="majorBidi" w:cstheme="majorBidi"/>
          <w:i w:val="0"/>
          <w:iCs w:val="0"/>
          <w:szCs w:val="24"/>
        </w:rPr>
        <w:t>« </w:t>
      </w:r>
      <w:r w:rsidRPr="00575BFE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  <w:szCs w:val="24"/>
        </w:rPr>
        <w:t>mystère</w:t>
      </w:r>
      <w:r w:rsidRPr="005C3EFC">
        <w:rPr>
          <w:rStyle w:val="Accentuation"/>
          <w:rFonts w:asciiTheme="majorBidi" w:hAnsiTheme="majorBidi" w:cstheme="majorBidi"/>
          <w:i w:val="0"/>
          <w:iCs w:val="0"/>
          <w:szCs w:val="24"/>
        </w:rPr>
        <w:t> »</w:t>
      </w:r>
      <w:r w:rsidRPr="005C3EFC">
        <w:t xml:space="preserve"> est le terme le plus général pour désigner ce qui est l'objet de la foi. </w:t>
      </w:r>
    </w:p>
    <w:p w:rsidR="00575BFE" w:rsidRPr="005C3EFC" w:rsidRDefault="00575BFE" w:rsidP="00575BFE">
      <w:pPr>
        <w:pStyle w:val="Sansinterligne"/>
        <w:ind w:left="720"/>
      </w:pPr>
    </w:p>
    <w:p w:rsidR="003A1B09" w:rsidRPr="005C3EFC" w:rsidRDefault="00575BFE" w:rsidP="00575BFE">
      <w:pPr>
        <w:pStyle w:val="Sansinterligne"/>
      </w:pPr>
      <w:r>
        <w:t>‘</w:t>
      </w:r>
      <w:proofErr w:type="spellStart"/>
      <w:r w:rsidR="003A1B09" w:rsidRPr="005C3EFC">
        <w:t>Abdu</w:t>
      </w:r>
      <w:proofErr w:type="spellEnd"/>
      <w:r w:rsidR="003A1B09" w:rsidRPr="005C3EFC">
        <w:t xml:space="preserve"> l</w:t>
      </w:r>
      <w:r>
        <w:t>-</w:t>
      </w:r>
      <w:proofErr w:type="spellStart"/>
      <w:r>
        <w:t>Lâh</w:t>
      </w:r>
      <w:proofErr w:type="spellEnd"/>
      <w:r>
        <w:t xml:space="preserve"> Ibn ‘</w:t>
      </w:r>
      <w:r w:rsidR="003A1B09" w:rsidRPr="005C3EFC">
        <w:t xml:space="preserve">Abbâs </w:t>
      </w:r>
      <w:r>
        <w:t>-</w:t>
      </w:r>
      <w:r w:rsidRPr="00B745A3">
        <w:rPr>
          <w:i/>
          <w:iCs/>
        </w:rPr>
        <w:t>qu’</w:t>
      </w:r>
      <w:proofErr w:type="spellStart"/>
      <w:r w:rsidRPr="00B745A3">
        <w:rPr>
          <w:i/>
          <w:iCs/>
        </w:rPr>
        <w:t>All</w:t>
      </w:r>
      <w:r>
        <w:rPr>
          <w:i/>
          <w:iCs/>
        </w:rPr>
        <w:t>â</w:t>
      </w:r>
      <w:r w:rsidRPr="00B745A3">
        <w:rPr>
          <w:i/>
          <w:iCs/>
        </w:rPr>
        <w:t>h</w:t>
      </w:r>
      <w:proofErr w:type="spellEnd"/>
      <w:r w:rsidRPr="00B745A3">
        <w:rPr>
          <w:i/>
          <w:iCs/>
        </w:rPr>
        <w:t xml:space="preserve"> l’agrée</w:t>
      </w:r>
      <w:r>
        <w:t>-</w:t>
      </w:r>
      <w:r w:rsidR="003A1B09" w:rsidRPr="005C3EFC">
        <w:t xml:space="preserve"> a dit : « </w:t>
      </w:r>
      <w:r w:rsidR="003A1B09" w:rsidRPr="00575BFE"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  <w:szCs w:val="24"/>
        </w:rPr>
        <w:t xml:space="preserve">Al </w:t>
      </w:r>
      <w:proofErr w:type="spellStart"/>
      <w:r w:rsidR="003A1B09" w:rsidRPr="00575BFE"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  <w:szCs w:val="24"/>
        </w:rPr>
        <w:t>ghayb</w:t>
      </w:r>
      <w:proofErr w:type="spellEnd"/>
      <w:r w:rsidR="003A1B09" w:rsidRPr="00575BFE"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  <w:szCs w:val="24"/>
        </w:rPr>
        <w:t xml:space="preserve"> est tout ce qui vient d'</w:t>
      </w:r>
      <w:proofErr w:type="spellStart"/>
      <w:r w:rsidR="003A1B09" w:rsidRPr="00575BFE"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  <w:szCs w:val="24"/>
        </w:rPr>
        <w:t>Allâh</w:t>
      </w:r>
      <w:proofErr w:type="spellEnd"/>
      <w:r w:rsidR="003A1B09" w:rsidRPr="00575BFE"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  <w:szCs w:val="24"/>
        </w:rPr>
        <w:t>.</w:t>
      </w:r>
      <w:r w:rsidR="003A1B09" w:rsidRPr="005C3EFC">
        <w:rPr>
          <w:rStyle w:val="Accentuation"/>
          <w:rFonts w:asciiTheme="majorBidi" w:hAnsiTheme="majorBidi" w:cstheme="majorBidi"/>
          <w:i w:val="0"/>
          <w:iCs w:val="0"/>
          <w:szCs w:val="24"/>
        </w:rPr>
        <w:t> »</w:t>
      </w:r>
      <w:r w:rsidR="003A1B09" w:rsidRPr="005C3EFC">
        <w:t xml:space="preserve"> </w:t>
      </w:r>
    </w:p>
    <w:p w:rsidR="00575BFE" w:rsidRDefault="00575BFE" w:rsidP="003A1B09">
      <w:pPr>
        <w:pStyle w:val="Sansinterligne"/>
      </w:pPr>
    </w:p>
    <w:p w:rsidR="003A1B09" w:rsidRDefault="003A1B09" w:rsidP="003A1B09">
      <w:pPr>
        <w:pStyle w:val="Sansinterligne"/>
      </w:pPr>
      <w:r w:rsidRPr="005C3EFC">
        <w:t xml:space="preserve">Et Il a dit également </w:t>
      </w:r>
      <w:r w:rsidR="00575BFE">
        <w:t>-</w:t>
      </w:r>
      <w:r w:rsidR="00575BFE" w:rsidRPr="00B745A3">
        <w:rPr>
          <w:i/>
          <w:iCs/>
        </w:rPr>
        <w:t>qu’</w:t>
      </w:r>
      <w:proofErr w:type="spellStart"/>
      <w:r w:rsidR="00575BFE" w:rsidRPr="00B745A3">
        <w:rPr>
          <w:i/>
          <w:iCs/>
        </w:rPr>
        <w:t>All</w:t>
      </w:r>
      <w:r w:rsidR="00575BFE">
        <w:rPr>
          <w:i/>
          <w:iCs/>
        </w:rPr>
        <w:t>â</w:t>
      </w:r>
      <w:r w:rsidR="00575BFE" w:rsidRPr="00B745A3">
        <w:rPr>
          <w:i/>
          <w:iCs/>
        </w:rPr>
        <w:t>h</w:t>
      </w:r>
      <w:proofErr w:type="spellEnd"/>
      <w:r w:rsidR="00575BFE" w:rsidRPr="00B745A3">
        <w:rPr>
          <w:i/>
          <w:iCs/>
        </w:rPr>
        <w:t xml:space="preserve"> l’agrée</w:t>
      </w:r>
      <w:r w:rsidR="00575BFE">
        <w:t xml:space="preserve">- </w:t>
      </w:r>
      <w:r w:rsidRPr="005C3EFC">
        <w:t xml:space="preserve">: </w:t>
      </w:r>
      <w:r w:rsidRPr="005C3EFC">
        <w:rPr>
          <w:rStyle w:val="Accentuation"/>
          <w:rFonts w:asciiTheme="majorBidi" w:hAnsiTheme="majorBidi" w:cstheme="majorBidi"/>
          <w:i w:val="0"/>
          <w:iCs w:val="0"/>
          <w:szCs w:val="24"/>
        </w:rPr>
        <w:t>« </w:t>
      </w:r>
      <w:r w:rsidRPr="00575BFE"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  <w:szCs w:val="24"/>
        </w:rPr>
        <w:t xml:space="preserve">« Al </w:t>
      </w:r>
      <w:proofErr w:type="spellStart"/>
      <w:r w:rsidRPr="00575BFE"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  <w:szCs w:val="24"/>
        </w:rPr>
        <w:t>ghayb</w:t>
      </w:r>
      <w:proofErr w:type="spellEnd"/>
      <w:r w:rsidRPr="00575BFE"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  <w:szCs w:val="24"/>
        </w:rPr>
        <w:t> » est tout ce qui relève du Paradis ou de l'Enfer et qui est caché aux croyants ; c'est aussi tout ce qu'</w:t>
      </w:r>
      <w:proofErr w:type="spellStart"/>
      <w:r w:rsidRPr="00575BFE"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  <w:szCs w:val="24"/>
        </w:rPr>
        <w:t>Allâh</w:t>
      </w:r>
      <w:proofErr w:type="spellEnd"/>
      <w:r w:rsidRPr="00575BFE"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  <w:szCs w:val="24"/>
        </w:rPr>
        <w:t xml:space="preserve"> mentionne dans le </w:t>
      </w:r>
      <w:proofErr w:type="spellStart"/>
      <w:r w:rsidRPr="00575BFE"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  <w:szCs w:val="24"/>
        </w:rPr>
        <w:t>Qu</w:t>
      </w:r>
      <w:r w:rsidR="00575BFE"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  <w:szCs w:val="24"/>
        </w:rPr>
        <w:t>r’</w:t>
      </w:r>
      <w:r w:rsidRPr="00575BFE"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  <w:szCs w:val="24"/>
        </w:rPr>
        <w:t>ân</w:t>
      </w:r>
      <w:proofErr w:type="spellEnd"/>
      <w:r w:rsidRPr="00575BFE"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  <w:szCs w:val="24"/>
        </w:rPr>
        <w:t xml:space="preserve"> et que les (premi</w:t>
      </w:r>
      <w:r w:rsidR="00575BFE" w:rsidRPr="00575BFE"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  <w:szCs w:val="24"/>
        </w:rPr>
        <w:t>ers) croyants d'origine arabe o</w:t>
      </w:r>
      <w:r w:rsidR="00575BFE"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  <w:szCs w:val="24"/>
        </w:rPr>
        <w:t>n</w:t>
      </w:r>
      <w:r w:rsidRPr="00575BFE"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  <w:szCs w:val="24"/>
        </w:rPr>
        <w:t xml:space="preserve"> reconnu vrai sans avoir de livres révélés ou de sciences préalables sur ces choses.</w:t>
      </w:r>
      <w:r w:rsidRPr="005C3EFC">
        <w:rPr>
          <w:rStyle w:val="Accentuation"/>
          <w:rFonts w:asciiTheme="majorBidi" w:hAnsiTheme="majorBidi" w:cstheme="majorBidi"/>
          <w:i w:val="0"/>
          <w:iCs w:val="0"/>
          <w:szCs w:val="24"/>
        </w:rPr>
        <w:t> »</w:t>
      </w:r>
      <w:r w:rsidRPr="005C3EFC">
        <w:t xml:space="preserve"> </w:t>
      </w:r>
    </w:p>
    <w:p w:rsidR="00575BFE" w:rsidRPr="005C3EFC" w:rsidRDefault="00575BFE" w:rsidP="003A1B09">
      <w:pPr>
        <w:pStyle w:val="Sansinterligne"/>
      </w:pPr>
    </w:p>
    <w:p w:rsidR="00575BFE" w:rsidRDefault="00575BFE" w:rsidP="00575BFE">
      <w:pPr>
        <w:pStyle w:val="Sansinterligne"/>
      </w:pPr>
      <w:proofErr w:type="spellStart"/>
      <w:r>
        <w:lastRenderedPageBreak/>
        <w:t>Rabî</w:t>
      </w:r>
      <w:proofErr w:type="spellEnd"/>
      <w:r>
        <w:t>‘</w:t>
      </w:r>
      <w:r w:rsidR="003A1B09" w:rsidRPr="005C3EFC">
        <w:t xml:space="preserve"> Ibn Anas </w:t>
      </w:r>
      <w:r w:rsidRPr="00F375EC">
        <w:rPr>
          <w:color w:val="000000"/>
        </w:rPr>
        <w:t>-</w:t>
      </w:r>
      <w:r w:rsidRPr="00F375EC">
        <w:rPr>
          <w:i/>
          <w:iCs/>
          <w:color w:val="000000"/>
        </w:rPr>
        <w:t>qu’</w:t>
      </w:r>
      <w:proofErr w:type="spellStart"/>
      <w:r w:rsidRPr="00F375EC">
        <w:rPr>
          <w:i/>
          <w:iCs/>
          <w:color w:val="000000"/>
        </w:rPr>
        <w:t>All</w:t>
      </w:r>
      <w:r>
        <w:rPr>
          <w:i/>
          <w:iCs/>
          <w:color w:val="000000"/>
        </w:rPr>
        <w:t>â</w:t>
      </w:r>
      <w:r w:rsidRPr="00F375EC">
        <w:rPr>
          <w:i/>
          <w:iCs/>
          <w:color w:val="000000"/>
        </w:rPr>
        <w:t>h</w:t>
      </w:r>
      <w:proofErr w:type="spellEnd"/>
      <w:r w:rsidRPr="00F375EC">
        <w:rPr>
          <w:i/>
          <w:iCs/>
          <w:color w:val="000000"/>
        </w:rPr>
        <w:t xml:space="preserve"> lui fasse Miséricorde</w:t>
      </w:r>
      <w:r w:rsidRPr="00F375EC">
        <w:rPr>
          <w:color w:val="000000"/>
        </w:rPr>
        <w:t>-</w:t>
      </w:r>
      <w:r w:rsidR="003A1B09" w:rsidRPr="005C3EFC">
        <w:t xml:space="preserve"> a dit : </w:t>
      </w:r>
      <w:r w:rsidR="003A1B09" w:rsidRPr="005C3EFC">
        <w:rPr>
          <w:rStyle w:val="Accentuation"/>
          <w:rFonts w:asciiTheme="majorBidi" w:hAnsiTheme="majorBidi" w:cstheme="majorBidi"/>
          <w:i w:val="0"/>
          <w:iCs w:val="0"/>
          <w:szCs w:val="24"/>
        </w:rPr>
        <w:t>« </w:t>
      </w:r>
      <w:r w:rsidR="003A1B09" w:rsidRPr="00575BFE">
        <w:rPr>
          <w:rStyle w:val="Accentuation"/>
          <w:rFonts w:asciiTheme="majorBidi" w:hAnsiTheme="majorBidi" w:cstheme="majorBidi"/>
          <w:b/>
          <w:bCs/>
          <w:i w:val="0"/>
          <w:iCs w:val="0"/>
          <w:color w:val="002060"/>
          <w:szCs w:val="24"/>
        </w:rPr>
        <w:t xml:space="preserve">Ceux qui croient au Mystère, croient en </w:t>
      </w:r>
      <w:proofErr w:type="spellStart"/>
      <w:r w:rsidR="003A1B09" w:rsidRPr="00575BFE">
        <w:rPr>
          <w:rStyle w:val="Accentuation"/>
          <w:rFonts w:asciiTheme="majorBidi" w:hAnsiTheme="majorBidi" w:cstheme="majorBidi"/>
          <w:b/>
          <w:bCs/>
          <w:i w:val="0"/>
          <w:iCs w:val="0"/>
          <w:color w:val="002060"/>
          <w:szCs w:val="24"/>
        </w:rPr>
        <w:t>Allâh</w:t>
      </w:r>
      <w:proofErr w:type="spellEnd"/>
      <w:r w:rsidR="003A1B09" w:rsidRPr="00575BFE">
        <w:rPr>
          <w:rStyle w:val="Accentuation"/>
          <w:rFonts w:asciiTheme="majorBidi" w:hAnsiTheme="majorBidi" w:cstheme="majorBidi"/>
          <w:b/>
          <w:bCs/>
          <w:i w:val="0"/>
          <w:iCs w:val="0"/>
          <w:color w:val="002060"/>
          <w:szCs w:val="24"/>
        </w:rPr>
        <w:t xml:space="preserve">, en Ses Anges, en Ses Envoyés, au Jour Dernier, au Paradis, au Feu et à la Rencontre avec </w:t>
      </w:r>
      <w:proofErr w:type="spellStart"/>
      <w:r w:rsidR="003A1B09" w:rsidRPr="00575BFE">
        <w:rPr>
          <w:rStyle w:val="Accentuation"/>
          <w:rFonts w:asciiTheme="majorBidi" w:hAnsiTheme="majorBidi" w:cstheme="majorBidi"/>
          <w:b/>
          <w:bCs/>
          <w:i w:val="0"/>
          <w:iCs w:val="0"/>
          <w:color w:val="002060"/>
          <w:szCs w:val="24"/>
        </w:rPr>
        <w:t>Allâh</w:t>
      </w:r>
      <w:proofErr w:type="spellEnd"/>
      <w:r w:rsidR="003A1B09" w:rsidRPr="00575BFE">
        <w:rPr>
          <w:rStyle w:val="Accentuation"/>
          <w:rFonts w:asciiTheme="majorBidi" w:hAnsiTheme="majorBidi" w:cstheme="majorBidi"/>
          <w:b/>
          <w:bCs/>
          <w:i w:val="0"/>
          <w:iCs w:val="0"/>
          <w:color w:val="002060"/>
          <w:szCs w:val="24"/>
        </w:rPr>
        <w:t xml:space="preserve"> et ils croient à la vie après la mort : tout cela est </w:t>
      </w:r>
      <w:proofErr w:type="spellStart"/>
      <w:r w:rsidR="003A1B09" w:rsidRPr="00575BFE">
        <w:rPr>
          <w:rStyle w:val="Accentuation"/>
          <w:rFonts w:asciiTheme="majorBidi" w:hAnsiTheme="majorBidi" w:cstheme="majorBidi"/>
          <w:b/>
          <w:bCs/>
          <w:i w:val="0"/>
          <w:iCs w:val="0"/>
          <w:color w:val="002060"/>
          <w:szCs w:val="24"/>
        </w:rPr>
        <w:t>ghayb</w:t>
      </w:r>
      <w:proofErr w:type="spellEnd"/>
      <w:r w:rsidR="003A1B09" w:rsidRPr="00575BFE">
        <w:rPr>
          <w:rStyle w:val="Accentuation"/>
          <w:rFonts w:asciiTheme="majorBidi" w:hAnsiTheme="majorBidi" w:cstheme="majorBidi"/>
          <w:b/>
          <w:bCs/>
          <w:i w:val="0"/>
          <w:iCs w:val="0"/>
          <w:color w:val="002060"/>
          <w:szCs w:val="24"/>
        </w:rPr>
        <w:t>.</w:t>
      </w:r>
      <w:r w:rsidR="003A1B09" w:rsidRPr="005C3EFC">
        <w:rPr>
          <w:rStyle w:val="Accentuation"/>
          <w:rFonts w:asciiTheme="majorBidi" w:hAnsiTheme="majorBidi" w:cstheme="majorBidi"/>
          <w:i w:val="0"/>
          <w:iCs w:val="0"/>
          <w:szCs w:val="24"/>
        </w:rPr>
        <w:t> »</w:t>
      </w:r>
    </w:p>
    <w:p w:rsidR="00575BFE" w:rsidRDefault="00575BFE" w:rsidP="003A1B09">
      <w:pPr>
        <w:pStyle w:val="Sansinterligne"/>
      </w:pPr>
    </w:p>
    <w:p w:rsidR="003A1B09" w:rsidRDefault="003A1B09" w:rsidP="003A1B09">
      <w:pPr>
        <w:pStyle w:val="Sansinterligne"/>
      </w:pPr>
    </w:p>
    <w:p w:rsidR="003A1B09" w:rsidRPr="005C3EFC" w:rsidRDefault="003A1B09" w:rsidP="003A1B09">
      <w:pPr>
        <w:pStyle w:val="Sansinterligne"/>
      </w:pPr>
      <w:r w:rsidRPr="005C3EFC">
        <w:rPr>
          <w:b/>
          <w:bCs/>
          <w:u w:val="single"/>
        </w:rPr>
        <w:t>Source</w:t>
      </w:r>
      <w:r w:rsidRPr="005C3EFC">
        <w:t xml:space="preserve"> : </w:t>
      </w:r>
      <w:proofErr w:type="spellStart"/>
      <w:r w:rsidRPr="005C3EFC">
        <w:t>Jâmi</w:t>
      </w:r>
      <w:proofErr w:type="spellEnd"/>
      <w:r w:rsidRPr="005C3EFC">
        <w:t xml:space="preserve">‘ </w:t>
      </w:r>
      <w:proofErr w:type="spellStart"/>
      <w:r w:rsidRPr="005C3EFC">
        <w:t>ul</w:t>
      </w:r>
      <w:proofErr w:type="spellEnd"/>
      <w:r w:rsidRPr="005C3EFC">
        <w:t>-</w:t>
      </w:r>
      <w:proofErr w:type="spellStart"/>
      <w:r w:rsidRPr="005C3EFC">
        <w:t>Bayân</w:t>
      </w:r>
      <w:proofErr w:type="spellEnd"/>
      <w:r w:rsidRPr="005C3EFC">
        <w:t xml:space="preserve"> </w:t>
      </w:r>
      <w:proofErr w:type="spellStart"/>
      <w:r w:rsidRPr="005C3EFC">
        <w:t>Fî</w:t>
      </w:r>
      <w:proofErr w:type="spellEnd"/>
      <w:r w:rsidRPr="005C3EFC">
        <w:t xml:space="preserve"> </w:t>
      </w:r>
      <w:proofErr w:type="spellStart"/>
      <w:r w:rsidRPr="005C3EFC">
        <w:t>Tafsîr</w:t>
      </w:r>
      <w:proofErr w:type="spellEnd"/>
      <w:r w:rsidRPr="005C3EFC">
        <w:t xml:space="preserve"> </w:t>
      </w:r>
      <w:proofErr w:type="spellStart"/>
      <w:r w:rsidRPr="005C3EFC">
        <w:t>ul</w:t>
      </w:r>
      <w:proofErr w:type="spellEnd"/>
      <w:r w:rsidRPr="005C3EFC">
        <w:t xml:space="preserve"> </w:t>
      </w:r>
      <w:proofErr w:type="spellStart"/>
      <w:r w:rsidRPr="005C3EFC">
        <w:t>Qur’ân</w:t>
      </w:r>
      <w:proofErr w:type="spellEnd"/>
      <w:r w:rsidRPr="005C3EFC">
        <w:t>.</w:t>
      </w:r>
    </w:p>
    <w:p w:rsidR="003A1B09" w:rsidRPr="003A1B09" w:rsidRDefault="003A1B09" w:rsidP="003A1B09"/>
    <w:sectPr w:rsidR="003A1B09" w:rsidRPr="003A1B09" w:rsidSect="003A1B09">
      <w:footerReference w:type="default" r:id="rId10"/>
      <w:pgSz w:w="11906" w:h="16838" w:code="9"/>
      <w:pgMar w:top="1417" w:right="1417" w:bottom="1417" w:left="1417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587" w:rsidRDefault="00524587" w:rsidP="003A1B09">
      <w:r>
        <w:separator/>
      </w:r>
    </w:p>
  </w:endnote>
  <w:endnote w:type="continuationSeparator" w:id="0">
    <w:p w:rsidR="00524587" w:rsidRDefault="00524587" w:rsidP="003A1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b/>
        <w:bCs/>
        <w:sz w:val="26"/>
        <w:szCs w:val="26"/>
      </w:rPr>
      <w:id w:val="257564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bCs w:val="0"/>
        <w:sz w:val="24"/>
        <w:szCs w:val="24"/>
      </w:rPr>
    </w:sdtEndPr>
    <w:sdtContent>
      <w:sdt>
        <w:sdtPr>
          <w:rPr>
            <w:rFonts w:asciiTheme="majorBidi" w:hAnsiTheme="majorBidi" w:cstheme="majorBidi"/>
            <w:b/>
            <w:bCs/>
            <w:sz w:val="26"/>
            <w:szCs w:val="26"/>
          </w:rPr>
          <w:id w:val="66406374"/>
          <w:docPartObj>
            <w:docPartGallery w:val="Page Numbers (Bottom of Page)"/>
            <w:docPartUnique/>
          </w:docPartObj>
        </w:sdtPr>
        <w:sdtContent>
          <w:p w:rsidR="003A1B09" w:rsidRPr="00886C98" w:rsidRDefault="003A1B09" w:rsidP="003A1B09">
            <w:pPr>
              <w:pStyle w:val="Pieddepage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86C98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lang w:eastAsia="zh-TW"/>
              </w:rPr>
              <w:pict>
                <v:group id="_x0000_s3073" style="position:absolute;left:0;text-align:left;margin-left:418.8pt;margin-top:780.2pt;width:34.4pt;height:56.45pt;z-index:251661312;mso-position-horizontal-relative:margin;mso-position-vertical-relative:page" coordorigin="1743,14699" coordsize="688,1129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3074" type="#_x0000_t32" style="position:absolute;left:2111;top:15387;width:0;height:441;flip:y" o:connectortype="straight" strokecolor="#7f7f7f [1612]"/>
                  <v:rect id="_x0000_s3075" style="position:absolute;left:1743;top:14699;width:688;height:688;v-text-anchor:middle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  <v:textbox style="mso-next-textbox:#_x0000_s3075">
                      <w:txbxContent>
                        <w:p w:rsidR="003A1B09" w:rsidRPr="00886C98" w:rsidRDefault="003A1B09" w:rsidP="003A1B09">
                          <w:pPr>
                            <w:pStyle w:val="Pieddepage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86C9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86C9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886C9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75BFE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886C9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w:r>
            <w:hyperlink r:id="rId1" w:history="1">
              <w:r w:rsidRPr="00886C98">
                <w:rPr>
                  <w:rStyle w:val="Lienhypertexte"/>
                  <w:rFonts w:asciiTheme="majorBidi" w:eastAsiaTheme="majorEastAsia" w:hAnsiTheme="majorBidi" w:cstheme="majorBidi"/>
                  <w:b/>
                  <w:bCs/>
                  <w:sz w:val="26"/>
                  <w:szCs w:val="26"/>
                </w:rPr>
                <w:t>http://bibliotheque-islamique-coran-sunna.over-blog.com/</w:t>
              </w:r>
              <w:r w:rsidRPr="00886C98">
                <w:rPr>
                  <w:rStyle w:val="Lienhypertexte"/>
                  <w:rFonts w:asciiTheme="majorBidi" w:eastAsiaTheme="majorEastAsia" w:hAnsiTheme="majorBidi" w:cstheme="majorBidi"/>
                  <w:b/>
                  <w:bCs/>
                  <w:color w:val="auto"/>
                  <w:sz w:val="26"/>
                  <w:szCs w:val="26"/>
                  <w:lang w:eastAsia="zh-TW"/>
                </w:rPr>
                <w:pict>
                  <v:shape id="_x0000_s3076" type="#_x0000_t32" style="position:absolute;left:0;text-align:left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      <w10:wrap anchorx="margin" anchory="page"/>
                  </v:shape>
                </w:pict>
              </w:r>
            </w:hyperlink>
          </w:p>
        </w:sdtContent>
      </w:sdt>
      <w:p w:rsidR="003A1B09" w:rsidRDefault="003A1B09" w:rsidP="003A1B09">
        <w:pPr>
          <w:pStyle w:val="Pieddepage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587" w:rsidRDefault="00524587" w:rsidP="003A1B09">
      <w:r>
        <w:separator/>
      </w:r>
    </w:p>
  </w:footnote>
  <w:footnote w:type="continuationSeparator" w:id="0">
    <w:p w:rsidR="00524587" w:rsidRDefault="00524587" w:rsidP="003A1B09">
      <w:r>
        <w:continuationSeparator/>
      </w:r>
    </w:p>
  </w:footnote>
  <w:footnote w:id="1">
    <w:p w:rsidR="003A1B09" w:rsidRDefault="003A1B09" w:rsidP="003A1B0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Style w:val="Accentuation"/>
          <w:rFonts w:asciiTheme="majorBidi" w:hAnsiTheme="majorBidi" w:cstheme="majorBidi"/>
          <w:i w:val="0"/>
          <w:iCs w:val="0"/>
          <w:sz w:val="24"/>
          <w:szCs w:val="24"/>
        </w:rPr>
        <w:t>V</w:t>
      </w:r>
      <w:r w:rsidRPr="005C3EFC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</w:rPr>
        <w:t xml:space="preserve">oir </w:t>
      </w:r>
      <w:r>
        <w:rPr>
          <w:rStyle w:val="Accentuation"/>
          <w:rFonts w:asciiTheme="majorBidi" w:hAnsiTheme="majorBidi" w:cstheme="majorBidi"/>
          <w:i w:val="0"/>
          <w:iCs w:val="0"/>
          <w:sz w:val="24"/>
          <w:szCs w:val="24"/>
        </w:rPr>
        <w:t xml:space="preserve">la définition de l’Imâm dans la rubrique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9pt;height:9pt" o:bullet="t">
        <v:imagedata r:id="rId1" o:title="BD10265_"/>
      </v:shape>
    </w:pict>
  </w:numPicBullet>
  <w:abstractNum w:abstractNumId="0">
    <w:nsid w:val="72B67757"/>
    <w:multiLevelType w:val="hybridMultilevel"/>
    <w:tmpl w:val="67D6ED66"/>
    <w:lvl w:ilvl="0" w:tplc="4DC4A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4"/>
        <o:r id="V:Rule2" type="connector" idref="#_x0000_s307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85D45"/>
    <w:rsid w:val="00027B22"/>
    <w:rsid w:val="00044B3B"/>
    <w:rsid w:val="00085D45"/>
    <w:rsid w:val="000C0174"/>
    <w:rsid w:val="001044C0"/>
    <w:rsid w:val="00107DEC"/>
    <w:rsid w:val="00152159"/>
    <w:rsid w:val="00155319"/>
    <w:rsid w:val="001C28F7"/>
    <w:rsid w:val="00244602"/>
    <w:rsid w:val="00280909"/>
    <w:rsid w:val="002852C3"/>
    <w:rsid w:val="00300C8F"/>
    <w:rsid w:val="00376300"/>
    <w:rsid w:val="003A1B09"/>
    <w:rsid w:val="003C1DFB"/>
    <w:rsid w:val="003C21F7"/>
    <w:rsid w:val="003D3DCC"/>
    <w:rsid w:val="00401A2D"/>
    <w:rsid w:val="00463B17"/>
    <w:rsid w:val="004B08AB"/>
    <w:rsid w:val="00524587"/>
    <w:rsid w:val="00574E95"/>
    <w:rsid w:val="00575BFE"/>
    <w:rsid w:val="00576D00"/>
    <w:rsid w:val="00584A92"/>
    <w:rsid w:val="005C627F"/>
    <w:rsid w:val="005D4304"/>
    <w:rsid w:val="005F2C01"/>
    <w:rsid w:val="00610866"/>
    <w:rsid w:val="00616207"/>
    <w:rsid w:val="0067161B"/>
    <w:rsid w:val="00702CE1"/>
    <w:rsid w:val="00704369"/>
    <w:rsid w:val="00741238"/>
    <w:rsid w:val="00762C54"/>
    <w:rsid w:val="00764046"/>
    <w:rsid w:val="0079737A"/>
    <w:rsid w:val="007A55E2"/>
    <w:rsid w:val="007F5F17"/>
    <w:rsid w:val="008514F4"/>
    <w:rsid w:val="008C115B"/>
    <w:rsid w:val="00915D23"/>
    <w:rsid w:val="00932B9E"/>
    <w:rsid w:val="00937064"/>
    <w:rsid w:val="009912A1"/>
    <w:rsid w:val="00994B1C"/>
    <w:rsid w:val="009965BA"/>
    <w:rsid w:val="009A61DA"/>
    <w:rsid w:val="00B1200F"/>
    <w:rsid w:val="00B51E11"/>
    <w:rsid w:val="00BB0B50"/>
    <w:rsid w:val="00BD7CC8"/>
    <w:rsid w:val="00C53C52"/>
    <w:rsid w:val="00C54316"/>
    <w:rsid w:val="00C56B86"/>
    <w:rsid w:val="00CD4EBD"/>
    <w:rsid w:val="00D15EBD"/>
    <w:rsid w:val="00DD202E"/>
    <w:rsid w:val="00EC21B5"/>
    <w:rsid w:val="00ED292B"/>
    <w:rsid w:val="00ED5324"/>
    <w:rsid w:val="00EE3A29"/>
    <w:rsid w:val="00F1589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0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uiPriority w:val="20"/>
    <w:qFormat/>
    <w:rsid w:val="00576D00"/>
    <w:rPr>
      <w:i/>
      <w:iCs/>
    </w:rPr>
  </w:style>
  <w:style w:type="paragraph" w:styleId="Sansinterligne">
    <w:name w:val="No Spacing"/>
    <w:link w:val="SansinterligneCar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qFormat/>
    <w:rsid w:val="00576D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5D45"/>
    <w:pPr>
      <w:spacing w:before="100" w:beforeAutospacing="1" w:after="100" w:afterAutospacing="1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A1B09"/>
    <w:rPr>
      <w:rFonts w:eastAsiaTheme="minorHAnsi" w:cstheme="minorBidi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1B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B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A1B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A1B0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A1B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1B09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A1B0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1B0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1B09"/>
  </w:style>
  <w:style w:type="character" w:styleId="Appelnotedebasdep">
    <w:name w:val="footnote reference"/>
    <w:basedOn w:val="Policepardfaut"/>
    <w:uiPriority w:val="99"/>
    <w:semiHidden/>
    <w:unhideWhenUsed/>
    <w:rsid w:val="003A1B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67113-0956-438D-A698-FE72C90F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utilisateur</cp:lastModifiedBy>
  <cp:revision>3</cp:revision>
  <cp:lastPrinted>2011-06-13T12:31:00Z</cp:lastPrinted>
  <dcterms:created xsi:type="dcterms:W3CDTF">2011-06-07T23:45:00Z</dcterms:created>
  <dcterms:modified xsi:type="dcterms:W3CDTF">2011-06-13T12:32:00Z</dcterms:modified>
</cp:coreProperties>
</file>